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55623" w14:textId="77777777" w:rsidR="001F2004" w:rsidRDefault="001F2004" w:rsidP="00847D93">
      <w:pPr>
        <w:ind w:right="-106"/>
        <w:jc w:val="center"/>
        <w:rPr>
          <w:rFonts w:cs="Arial"/>
          <w:b/>
          <w:sz w:val="22"/>
          <w:szCs w:val="22"/>
        </w:rPr>
      </w:pPr>
      <w:r w:rsidRPr="009F548C">
        <w:rPr>
          <w:rFonts w:cs="Arial"/>
          <w:b/>
          <w:sz w:val="22"/>
          <w:szCs w:val="22"/>
        </w:rPr>
        <w:t>RESOLUCIÓN No.</w:t>
      </w:r>
      <w:bookmarkStart w:id="0" w:name="_GoBack"/>
      <w:bookmarkEnd w:id="0"/>
    </w:p>
    <w:p w14:paraId="1B263E81" w14:textId="77777777" w:rsidR="001E7D27" w:rsidRDefault="001E7D27" w:rsidP="00C44643">
      <w:pPr>
        <w:ind w:right="-106"/>
        <w:jc w:val="center"/>
        <w:rPr>
          <w:rFonts w:cs="Arial"/>
          <w:sz w:val="22"/>
          <w:szCs w:val="22"/>
        </w:rPr>
      </w:pPr>
    </w:p>
    <w:p w14:paraId="2538A0C6" w14:textId="77777777" w:rsidR="001E7D27" w:rsidRDefault="001E7D27" w:rsidP="00C44643">
      <w:pPr>
        <w:ind w:right="-106"/>
        <w:jc w:val="center"/>
        <w:rPr>
          <w:rFonts w:cs="Arial"/>
          <w:sz w:val="22"/>
          <w:szCs w:val="22"/>
        </w:rPr>
      </w:pPr>
    </w:p>
    <w:p w14:paraId="087C9178" w14:textId="77777777" w:rsidR="001F2004" w:rsidRPr="009F548C" w:rsidRDefault="003E16E2" w:rsidP="00C44643">
      <w:pPr>
        <w:ind w:right="-106"/>
        <w:jc w:val="center"/>
        <w:rPr>
          <w:rFonts w:cs="Arial"/>
          <w:sz w:val="22"/>
          <w:szCs w:val="22"/>
        </w:rPr>
      </w:pPr>
      <w:r w:rsidRPr="009F548C">
        <w:rPr>
          <w:rFonts w:cs="Arial"/>
          <w:sz w:val="22"/>
          <w:szCs w:val="22"/>
        </w:rPr>
        <w:t>(                                        )</w:t>
      </w:r>
    </w:p>
    <w:p w14:paraId="2DE54B49" w14:textId="77777777" w:rsidR="004B3A00" w:rsidRPr="003B72C6" w:rsidRDefault="004B3A00" w:rsidP="004B3A00">
      <w:pPr>
        <w:ind w:left="-567" w:right="-426"/>
        <w:jc w:val="center"/>
        <w:rPr>
          <w:rFonts w:cs="Arial"/>
        </w:rPr>
      </w:pPr>
    </w:p>
    <w:p w14:paraId="50860D2E" w14:textId="77777777" w:rsidR="004B3A00" w:rsidRPr="003B72C6" w:rsidRDefault="004B3A00" w:rsidP="004B3A00">
      <w:pPr>
        <w:ind w:left="-567" w:right="-426"/>
        <w:jc w:val="center"/>
        <w:rPr>
          <w:rFonts w:cs="Arial"/>
        </w:rPr>
      </w:pPr>
    </w:p>
    <w:p w14:paraId="41B47980" w14:textId="77777777" w:rsidR="004B3A00" w:rsidRPr="00B37CCB" w:rsidRDefault="004B3A00" w:rsidP="009E0B37">
      <w:pPr>
        <w:ind w:left="-567" w:right="-426"/>
        <w:jc w:val="center"/>
        <w:rPr>
          <w:rFonts w:cs="Arial"/>
        </w:rPr>
      </w:pPr>
      <w:bookmarkStart w:id="1" w:name="_Hlk493672377"/>
      <w:r w:rsidRPr="003B72C6">
        <w:rPr>
          <w:rFonts w:cs="Arial"/>
        </w:rPr>
        <w:t>«</w:t>
      </w:r>
      <w:r w:rsidR="009E0B37">
        <w:t>Por la cual se establece el cronograma del índice Sintético de la Calidad Educativa (ISCE) para el año 2018 y se dictan otras disposiciones</w:t>
      </w:r>
      <w:r w:rsidRPr="00B37CCB">
        <w:rPr>
          <w:rFonts w:cs="Arial"/>
        </w:rPr>
        <w:t>»</w:t>
      </w:r>
    </w:p>
    <w:bookmarkEnd w:id="1"/>
    <w:p w14:paraId="43A5EA88" w14:textId="77777777" w:rsidR="004B3A00" w:rsidRPr="001E7D27" w:rsidRDefault="004B3A00" w:rsidP="004B3A00">
      <w:pPr>
        <w:ind w:left="-567" w:right="-426"/>
        <w:jc w:val="center"/>
        <w:rPr>
          <w:rFonts w:cs="Arial"/>
          <w:lang w:val="es-CO"/>
        </w:rPr>
      </w:pPr>
    </w:p>
    <w:p w14:paraId="4F2344BD" w14:textId="77777777" w:rsidR="004B3A00" w:rsidRDefault="004B3A00" w:rsidP="004B3A00">
      <w:pPr>
        <w:ind w:left="-567" w:right="-426"/>
        <w:jc w:val="center"/>
        <w:rPr>
          <w:rFonts w:cs="Arial"/>
          <w:b/>
        </w:rPr>
      </w:pPr>
    </w:p>
    <w:p w14:paraId="1710DEA1" w14:textId="77777777" w:rsidR="004B3A00" w:rsidRPr="00E52BD4" w:rsidRDefault="004B3A00" w:rsidP="004B3A00">
      <w:pPr>
        <w:ind w:left="-567" w:right="-426"/>
        <w:jc w:val="center"/>
        <w:rPr>
          <w:rFonts w:cs="Arial"/>
          <w:b/>
        </w:rPr>
      </w:pPr>
      <w:r w:rsidRPr="00E52BD4">
        <w:rPr>
          <w:rFonts w:cs="Arial"/>
          <w:b/>
        </w:rPr>
        <w:t>LA MINISTRA DE EDUCACIÓN NACIONAL</w:t>
      </w:r>
    </w:p>
    <w:p w14:paraId="7D398367" w14:textId="77777777" w:rsidR="004B3A00" w:rsidRDefault="004B3A00" w:rsidP="009E0B37">
      <w:pPr>
        <w:ind w:left="-567" w:right="-426"/>
        <w:jc w:val="both"/>
        <w:rPr>
          <w:rFonts w:cs="Arial"/>
          <w:b/>
        </w:rPr>
      </w:pPr>
    </w:p>
    <w:p w14:paraId="2272FA1C" w14:textId="77777777" w:rsidR="009E0B37" w:rsidRPr="00116A3E" w:rsidRDefault="009E0B37" w:rsidP="00010D72">
      <w:pPr>
        <w:ind w:left="-567" w:right="-426"/>
        <w:jc w:val="both"/>
        <w:rPr>
          <w:rFonts w:cs="Arial"/>
          <w:b/>
        </w:rPr>
      </w:pPr>
    </w:p>
    <w:p w14:paraId="2FF1C908" w14:textId="77777777" w:rsidR="004B3A00" w:rsidRPr="003B72C6" w:rsidRDefault="009E0B37" w:rsidP="00113826">
      <w:pPr>
        <w:ind w:left="-567" w:right="-426"/>
        <w:jc w:val="center"/>
        <w:rPr>
          <w:rFonts w:cs="Arial"/>
        </w:rPr>
      </w:pPr>
      <w:r w:rsidRPr="009E0B37">
        <w:t xml:space="preserve">En ejercicio de </w:t>
      </w:r>
      <w:r w:rsidR="001E7D27">
        <w:t>sus</w:t>
      </w:r>
      <w:r w:rsidRPr="009E0B37">
        <w:t xml:space="preserve"> facultades constitucionales y legales, en especial de las conferidas por el numeral 3°</w:t>
      </w:r>
      <w:r w:rsidR="00ED1430">
        <w:t xml:space="preserve"> del </w:t>
      </w:r>
      <w:r w:rsidR="00F873AB">
        <w:t>a</w:t>
      </w:r>
      <w:r w:rsidR="00ED1430" w:rsidRPr="009E0B37">
        <w:t xml:space="preserve">rtículo 59 </w:t>
      </w:r>
      <w:r w:rsidRPr="009E0B37">
        <w:t>de la Ley 489 de 1998</w:t>
      </w:r>
      <w:r w:rsidR="00ED1430">
        <w:t>,</w:t>
      </w:r>
      <w:r w:rsidRPr="009E0B37">
        <w:t xml:space="preserve"> y el numeral 2.7</w:t>
      </w:r>
      <w:r w:rsidR="00ED1430">
        <w:t xml:space="preserve"> del </w:t>
      </w:r>
      <w:r w:rsidR="001E7D27">
        <w:t>a</w:t>
      </w:r>
      <w:r w:rsidR="00ED1430" w:rsidRPr="009E0B37">
        <w:t xml:space="preserve">rtículo 2 </w:t>
      </w:r>
      <w:r w:rsidRPr="009E0B37">
        <w:t>del Decreto 5012 de 2009</w:t>
      </w:r>
      <w:r w:rsidR="00F873AB">
        <w:t>,</w:t>
      </w:r>
      <w:r w:rsidR="001E0DBE">
        <w:t xml:space="preserve"> y</w:t>
      </w:r>
    </w:p>
    <w:p w14:paraId="69BA0EF9" w14:textId="77777777" w:rsidR="004B3A00" w:rsidRPr="00D34704" w:rsidRDefault="004B3A00" w:rsidP="004B3A00">
      <w:pPr>
        <w:ind w:left="-567" w:right="-426"/>
        <w:jc w:val="center"/>
        <w:rPr>
          <w:rFonts w:cs="Arial"/>
        </w:rPr>
      </w:pPr>
    </w:p>
    <w:p w14:paraId="21DD42D9" w14:textId="77777777" w:rsidR="004B3A00" w:rsidRDefault="004B3A00" w:rsidP="004B3A00">
      <w:pPr>
        <w:ind w:left="-567" w:right="-426"/>
        <w:jc w:val="center"/>
        <w:rPr>
          <w:rFonts w:cs="Arial"/>
          <w:b/>
        </w:rPr>
      </w:pPr>
    </w:p>
    <w:p w14:paraId="405A30E2" w14:textId="77777777" w:rsidR="004B3A00" w:rsidRDefault="004B3A00" w:rsidP="004B3A00">
      <w:pPr>
        <w:ind w:left="-567" w:right="-426"/>
        <w:jc w:val="center"/>
        <w:rPr>
          <w:rFonts w:cs="Arial"/>
          <w:b/>
        </w:rPr>
      </w:pPr>
      <w:r w:rsidRPr="00B37CCB">
        <w:rPr>
          <w:rFonts w:cs="Arial"/>
          <w:b/>
        </w:rPr>
        <w:t>CONSIDERANDO</w:t>
      </w:r>
    </w:p>
    <w:p w14:paraId="5F1234D4" w14:textId="77777777" w:rsidR="001D1E55" w:rsidRDefault="001D1E55" w:rsidP="004B3A00">
      <w:pPr>
        <w:ind w:left="-567" w:right="-426"/>
        <w:jc w:val="center"/>
        <w:rPr>
          <w:rFonts w:cs="Arial"/>
        </w:rPr>
      </w:pPr>
    </w:p>
    <w:p w14:paraId="588183FA" w14:textId="77777777" w:rsidR="001E7D27" w:rsidRPr="00B37CCB" w:rsidRDefault="001E7D27" w:rsidP="004B3A00">
      <w:pPr>
        <w:ind w:left="-567" w:right="-426"/>
        <w:jc w:val="center"/>
        <w:rPr>
          <w:rFonts w:cs="Arial"/>
        </w:rPr>
      </w:pPr>
    </w:p>
    <w:p w14:paraId="7BB0FB4A" w14:textId="77777777" w:rsidR="009E0B37" w:rsidRDefault="009E0B37" w:rsidP="009E0B37">
      <w:pPr>
        <w:ind w:left="-567" w:right="-426"/>
        <w:jc w:val="both"/>
        <w:rPr>
          <w:rFonts w:cs="Arial"/>
        </w:rPr>
      </w:pPr>
      <w:r w:rsidRPr="00010D72">
        <w:rPr>
          <w:rFonts w:cs="Arial"/>
        </w:rPr>
        <w:t xml:space="preserve">Que de acuerdo con el artículo 67 de la Constitución Política </w:t>
      </w:r>
      <w:r w:rsidRPr="003B72C6">
        <w:rPr>
          <w:rFonts w:cs="Arial"/>
        </w:rPr>
        <w:t>«</w:t>
      </w:r>
      <w:r w:rsidRPr="00010D72">
        <w:rPr>
          <w:rFonts w:cs="Arial"/>
          <w:i/>
        </w:rPr>
        <w:t>Corresponde al Estado regular y ejercer la suprema inspección y vigilancia de la educación con el fin de velar por su calidad, por el cumplimiento de sus fines y por la mejor formación moral, intelectual y física de los educandos: garantizar el adecuado cubrimiento del servicio y asegurar a los menores las condiciones necesarias para su acceso y permanencia en el sistema educativo</w:t>
      </w:r>
      <w:r w:rsidRPr="00B37CCB">
        <w:rPr>
          <w:rFonts w:cs="Arial"/>
        </w:rPr>
        <w:t>»</w:t>
      </w:r>
      <w:r w:rsidR="00F873AB">
        <w:rPr>
          <w:rFonts w:cs="Arial"/>
        </w:rPr>
        <w:t>.</w:t>
      </w:r>
    </w:p>
    <w:p w14:paraId="4FA52E2F" w14:textId="77777777" w:rsidR="009E0B37" w:rsidRPr="00010D72" w:rsidRDefault="009E0B37" w:rsidP="00010D72">
      <w:pPr>
        <w:ind w:left="-567" w:right="-426"/>
        <w:jc w:val="both"/>
        <w:rPr>
          <w:rFonts w:cs="Arial"/>
        </w:rPr>
      </w:pPr>
    </w:p>
    <w:p w14:paraId="0EE994EC" w14:textId="77777777" w:rsidR="009E0B37" w:rsidRDefault="009E0B37" w:rsidP="009E0B37">
      <w:pPr>
        <w:ind w:left="-567" w:right="-426"/>
        <w:jc w:val="both"/>
        <w:rPr>
          <w:rFonts w:cs="Arial"/>
        </w:rPr>
      </w:pPr>
      <w:r w:rsidRPr="00010D72">
        <w:rPr>
          <w:rFonts w:cs="Arial"/>
        </w:rPr>
        <w:t>Que en el inciso 2</w:t>
      </w:r>
      <w:r w:rsidR="00F873AB">
        <w:rPr>
          <w:rFonts w:cs="Arial"/>
        </w:rPr>
        <w:t>°</w:t>
      </w:r>
      <w:r w:rsidRPr="00010D72">
        <w:rPr>
          <w:rFonts w:cs="Arial"/>
        </w:rPr>
        <w:t xml:space="preserve"> del </w:t>
      </w:r>
      <w:r>
        <w:rPr>
          <w:rFonts w:cs="Arial"/>
        </w:rPr>
        <w:t>a</w:t>
      </w:r>
      <w:r w:rsidRPr="00010D72">
        <w:rPr>
          <w:rFonts w:cs="Arial"/>
        </w:rPr>
        <w:t xml:space="preserve">rtículo 4 de la Ley 115 de 1994 señala que </w:t>
      </w:r>
      <w:r w:rsidRPr="003B72C6">
        <w:rPr>
          <w:rFonts w:cs="Arial"/>
        </w:rPr>
        <w:t>«</w:t>
      </w:r>
      <w:r w:rsidRPr="00010D72">
        <w:rPr>
          <w:rFonts w:cs="Arial"/>
          <w:i/>
        </w:rPr>
        <w:t>El Estado deberá atender en forma permanente los factores que favorecen la calidad y el mejoramiento de la educación; especialmente velará por la cualificación y formación de los educadores, la promoción docente, los recursos y métodos educativos, la innovación e investigación educativa, la orientación educativa y profesional, la inspección y evaluación del proceso educativo</w:t>
      </w:r>
      <w:r w:rsidRPr="00B37CCB">
        <w:rPr>
          <w:rFonts w:cs="Arial"/>
        </w:rPr>
        <w:t>»</w:t>
      </w:r>
      <w:r w:rsidR="00F873AB">
        <w:rPr>
          <w:rFonts w:cs="Arial"/>
        </w:rPr>
        <w:t>.</w:t>
      </w:r>
    </w:p>
    <w:p w14:paraId="3202DF07" w14:textId="77777777" w:rsidR="009E0B37" w:rsidRDefault="009E0B37" w:rsidP="009E0B37">
      <w:pPr>
        <w:ind w:left="-567" w:right="-426"/>
        <w:jc w:val="both"/>
        <w:rPr>
          <w:rFonts w:cs="Arial"/>
        </w:rPr>
      </w:pPr>
    </w:p>
    <w:p w14:paraId="3332D959" w14:textId="77777777" w:rsidR="009E0B37" w:rsidRDefault="009E0B37" w:rsidP="009E0B37">
      <w:pPr>
        <w:ind w:left="-567" w:right="-426"/>
        <w:jc w:val="both"/>
        <w:rPr>
          <w:rFonts w:cs="Arial"/>
        </w:rPr>
      </w:pPr>
      <w:r w:rsidRPr="00010D72">
        <w:rPr>
          <w:rFonts w:cs="Arial"/>
        </w:rPr>
        <w:t xml:space="preserve">Que el artículo 2.3.8.8.2.3.1 </w:t>
      </w:r>
      <w:r w:rsidR="00F873AB">
        <w:rPr>
          <w:rFonts w:cs="Arial"/>
        </w:rPr>
        <w:t xml:space="preserve">del Decreto 1075 de 2015 – Único Reglamentario del Sector Educación </w:t>
      </w:r>
      <w:r w:rsidRPr="00010D72">
        <w:rPr>
          <w:rFonts w:cs="Arial"/>
        </w:rPr>
        <w:t xml:space="preserve">consagra que el Índice de Calidad está conformado por el </w:t>
      </w:r>
      <w:r w:rsidRPr="009E0B37">
        <w:rPr>
          <w:rFonts w:cs="Arial"/>
        </w:rPr>
        <w:t>Índice Sintético</w:t>
      </w:r>
      <w:r w:rsidRPr="00010D72">
        <w:rPr>
          <w:rFonts w:cs="Arial"/>
        </w:rPr>
        <w:t xml:space="preserve"> de Calidad Educativa (ISCE) y el Índice de Gestión para la Calidad Educativa (IGCE).</w:t>
      </w:r>
    </w:p>
    <w:p w14:paraId="40C901F3" w14:textId="77777777" w:rsidR="009E0B37" w:rsidRPr="00010D72" w:rsidRDefault="009E0B37" w:rsidP="00010D72">
      <w:pPr>
        <w:ind w:left="-567" w:right="-426"/>
        <w:jc w:val="both"/>
        <w:rPr>
          <w:rFonts w:cs="Arial"/>
        </w:rPr>
      </w:pPr>
    </w:p>
    <w:p w14:paraId="7A5CA037" w14:textId="77777777" w:rsidR="009E0B37" w:rsidRDefault="009E0B37" w:rsidP="009E0B37">
      <w:pPr>
        <w:ind w:left="-567" w:right="-426"/>
        <w:jc w:val="both"/>
        <w:rPr>
          <w:rFonts w:cs="Arial"/>
        </w:rPr>
      </w:pPr>
      <w:r w:rsidRPr="00010D72">
        <w:rPr>
          <w:rFonts w:cs="Arial"/>
        </w:rPr>
        <w:t xml:space="preserve">Que el ISCE se define como el </w:t>
      </w:r>
      <w:r w:rsidRPr="003B72C6">
        <w:rPr>
          <w:rFonts w:cs="Arial"/>
        </w:rPr>
        <w:t>«</w:t>
      </w:r>
      <w:r w:rsidRPr="00010D72">
        <w:rPr>
          <w:rFonts w:cs="Arial"/>
          <w:i/>
        </w:rPr>
        <w:t>instrumento de medición de la calidad educativa de los establecimientos educativos y de las entidades territoriales certificadas en educación</w:t>
      </w:r>
      <w:r w:rsidRPr="00B37CCB">
        <w:rPr>
          <w:rFonts w:cs="Arial"/>
        </w:rPr>
        <w:t>»</w:t>
      </w:r>
      <w:r w:rsidRPr="00010D72">
        <w:rPr>
          <w:rFonts w:cs="Arial"/>
        </w:rPr>
        <w:t>, el cual se consolida a partir de los siguientes componentes: progreso, desempeño, eficiencia y ambiente escolar, de conformidad con lo previsto en el numeral 1</w:t>
      </w:r>
      <w:r w:rsidR="006E53AF">
        <w:rPr>
          <w:rFonts w:cs="Arial"/>
        </w:rPr>
        <w:t>°</w:t>
      </w:r>
      <w:r>
        <w:rPr>
          <w:rFonts w:cs="Arial"/>
        </w:rPr>
        <w:t xml:space="preserve"> </w:t>
      </w:r>
      <w:r w:rsidRPr="00010D72">
        <w:rPr>
          <w:rFonts w:cs="Arial"/>
        </w:rPr>
        <w:t>del referido artículo 2.3.8.8.2.3.1. Además, según el parágrafo 1 de</w:t>
      </w:r>
      <w:r>
        <w:rPr>
          <w:rFonts w:cs="Arial"/>
        </w:rPr>
        <w:t>l artículo en mención</w:t>
      </w:r>
      <w:r w:rsidRPr="00010D72">
        <w:rPr>
          <w:rFonts w:cs="Arial"/>
        </w:rPr>
        <w:t>, el Índice de Calidad de los establecimientos educativos corresponderá al resultado obtenido en el ISCE.</w:t>
      </w:r>
    </w:p>
    <w:p w14:paraId="4E7B4F1F" w14:textId="77777777" w:rsidR="009E0B37" w:rsidRPr="00010D72" w:rsidRDefault="009E0B37" w:rsidP="00010D72">
      <w:pPr>
        <w:ind w:left="-567" w:right="-426"/>
        <w:jc w:val="both"/>
        <w:rPr>
          <w:rFonts w:cs="Arial"/>
        </w:rPr>
      </w:pPr>
    </w:p>
    <w:p w14:paraId="6B973CE3" w14:textId="77777777" w:rsidR="009E0B37" w:rsidRPr="00010D72" w:rsidRDefault="009E0B37" w:rsidP="00010D72">
      <w:pPr>
        <w:ind w:left="-567" w:right="-426"/>
        <w:jc w:val="both"/>
        <w:rPr>
          <w:rFonts w:cs="Arial"/>
        </w:rPr>
      </w:pPr>
      <w:r w:rsidRPr="00010D72">
        <w:rPr>
          <w:rFonts w:cs="Arial"/>
        </w:rPr>
        <w:t xml:space="preserve">Que de conformidad con lo dispuesto en el </w:t>
      </w:r>
      <w:r>
        <w:rPr>
          <w:rFonts w:cs="Arial"/>
        </w:rPr>
        <w:t>a</w:t>
      </w:r>
      <w:r w:rsidRPr="00010D72">
        <w:rPr>
          <w:rFonts w:cs="Arial"/>
        </w:rPr>
        <w:t>rtículo 2.3.8.8.2.3.2 del Decreto 1075 de 2015, el ICFES dentro del primer semestre de cada año debe publicar los resultados del ISCE de los establecimientos educativos.</w:t>
      </w:r>
    </w:p>
    <w:p w14:paraId="2407CE7F" w14:textId="77777777" w:rsidR="009E0B37" w:rsidRPr="00010D72" w:rsidRDefault="009E0B37" w:rsidP="00010D72">
      <w:pPr>
        <w:ind w:left="-567" w:right="-426"/>
        <w:jc w:val="both"/>
        <w:rPr>
          <w:rFonts w:cs="Arial"/>
        </w:rPr>
      </w:pPr>
    </w:p>
    <w:p w14:paraId="5A89A5B1" w14:textId="77777777" w:rsidR="009E0B37" w:rsidRDefault="009E0B37" w:rsidP="009E0B37">
      <w:pPr>
        <w:ind w:left="-567" w:right="-426"/>
        <w:jc w:val="both"/>
        <w:rPr>
          <w:rFonts w:cs="Arial"/>
        </w:rPr>
      </w:pPr>
      <w:r w:rsidRPr="00010D72">
        <w:rPr>
          <w:rFonts w:cs="Arial"/>
        </w:rPr>
        <w:lastRenderedPageBreak/>
        <w:t>Que teniendo en cuenta que el ISCE es una herramienta importante dentro de los procesos de mejoramiento que deben adelantar los establecimientos educativos y las entidades territoriales certificadas</w:t>
      </w:r>
      <w:r w:rsidR="006E53AF">
        <w:rPr>
          <w:rFonts w:cs="Arial"/>
        </w:rPr>
        <w:t>,</w:t>
      </w:r>
      <w:r w:rsidRPr="00010D72">
        <w:rPr>
          <w:rFonts w:cs="Arial"/>
        </w:rPr>
        <w:t xml:space="preserve"> de conformidad con las competencias atribuidas en los </w:t>
      </w:r>
      <w:r>
        <w:rPr>
          <w:rFonts w:cs="Arial"/>
        </w:rPr>
        <w:t>a</w:t>
      </w:r>
      <w:r w:rsidRPr="00010D72">
        <w:rPr>
          <w:rFonts w:cs="Arial"/>
        </w:rPr>
        <w:t>rtículos 6 y 7 de la Ley 715 de 2001,</w:t>
      </w:r>
      <w:r>
        <w:rPr>
          <w:rFonts w:cs="Arial"/>
        </w:rPr>
        <w:t xml:space="preserve"> </w:t>
      </w:r>
      <w:r w:rsidRPr="00010D72">
        <w:rPr>
          <w:rFonts w:cs="Arial"/>
        </w:rPr>
        <w:t xml:space="preserve">el Ministerio de Educación Nacional encuentra necesario expedir el presente acto administrativo, con el fin de fijar el cronograma de actividades para la publicación del ISCE de los establecimientos educativos. </w:t>
      </w:r>
    </w:p>
    <w:p w14:paraId="6DA6630C" w14:textId="77777777" w:rsidR="009E0B37" w:rsidRPr="00010D72" w:rsidRDefault="009E0B37" w:rsidP="00010D72">
      <w:pPr>
        <w:ind w:left="-567" w:right="-426"/>
        <w:jc w:val="both"/>
        <w:rPr>
          <w:rFonts w:cs="Arial"/>
        </w:rPr>
      </w:pPr>
    </w:p>
    <w:p w14:paraId="2332A4D8" w14:textId="77777777" w:rsidR="009E0B37" w:rsidRDefault="009E0B37" w:rsidP="009E0B37">
      <w:pPr>
        <w:ind w:left="-567" w:right="-426"/>
        <w:jc w:val="both"/>
        <w:rPr>
          <w:rFonts w:cs="Arial"/>
        </w:rPr>
      </w:pPr>
      <w:r w:rsidRPr="00010D72">
        <w:rPr>
          <w:rFonts w:cs="Arial"/>
        </w:rPr>
        <w:t xml:space="preserve">Que la Ley 715 de 2001 en sus </w:t>
      </w:r>
      <w:r>
        <w:rPr>
          <w:rFonts w:cs="Arial"/>
        </w:rPr>
        <w:t>a</w:t>
      </w:r>
      <w:r w:rsidRPr="00010D72">
        <w:rPr>
          <w:rFonts w:cs="Arial"/>
        </w:rPr>
        <w:t>rtículos 6 y 7 dispone las competencias de las entidades territoriales certificadas en educación, en relación con la prestación del servicio en los niveles de preescolar, básica y media, entre las cuales se encuentra promover la aplicación y ejecución de planes de mejoramiento de calidad en los establecimientos educativos de su jurisdicción.</w:t>
      </w:r>
    </w:p>
    <w:p w14:paraId="68EAB215" w14:textId="77777777" w:rsidR="009E0B37" w:rsidRPr="00010D72" w:rsidRDefault="009E0B37" w:rsidP="00010D72">
      <w:pPr>
        <w:ind w:left="-567" w:right="-426"/>
        <w:jc w:val="both"/>
        <w:rPr>
          <w:rFonts w:cs="Arial"/>
        </w:rPr>
      </w:pPr>
    </w:p>
    <w:p w14:paraId="0EBEB1A3" w14:textId="77777777" w:rsidR="009E0B37" w:rsidRPr="00010D72" w:rsidRDefault="009E0B37" w:rsidP="00010D72">
      <w:pPr>
        <w:ind w:left="-567" w:right="-426"/>
        <w:jc w:val="both"/>
        <w:rPr>
          <w:rFonts w:cs="Arial"/>
        </w:rPr>
      </w:pPr>
      <w:r w:rsidRPr="00010D72">
        <w:rPr>
          <w:rFonts w:cs="Arial"/>
        </w:rPr>
        <w:t xml:space="preserve">Que el numeral 10.4 del </w:t>
      </w:r>
      <w:r>
        <w:rPr>
          <w:rFonts w:cs="Arial"/>
        </w:rPr>
        <w:t>a</w:t>
      </w:r>
      <w:r w:rsidRPr="00010D72">
        <w:rPr>
          <w:rFonts w:cs="Arial"/>
        </w:rPr>
        <w:t xml:space="preserve">rtículo 10 de la Ley 715 de 2001 consagra como función de los rectores </w:t>
      </w:r>
      <w:r w:rsidR="00BE7DF7" w:rsidRPr="003B72C6">
        <w:rPr>
          <w:rFonts w:cs="Arial"/>
        </w:rPr>
        <w:t>«</w:t>
      </w:r>
      <w:r w:rsidRPr="00010D72">
        <w:rPr>
          <w:rFonts w:cs="Arial"/>
          <w:i/>
        </w:rPr>
        <w:t>Formular planes anuales de acción y de mejoramiento de calidad, y dirigir su ejecución</w:t>
      </w:r>
      <w:r w:rsidR="00BE7DF7" w:rsidRPr="00B37CCB">
        <w:rPr>
          <w:rFonts w:cs="Arial"/>
        </w:rPr>
        <w:t>»</w:t>
      </w:r>
      <w:r w:rsidRPr="00010D72">
        <w:rPr>
          <w:rFonts w:cs="Arial"/>
        </w:rPr>
        <w:t>, en el marco de la protección que dispone el</w:t>
      </w:r>
      <w:r w:rsidR="00BE7DF7">
        <w:rPr>
          <w:rFonts w:cs="Arial"/>
        </w:rPr>
        <w:t xml:space="preserve"> a</w:t>
      </w:r>
      <w:r w:rsidRPr="00010D72">
        <w:rPr>
          <w:rFonts w:cs="Arial"/>
        </w:rPr>
        <w:t>rtículo 27 de la Constitución Política sobre la libertad de enseñanza, aprendizaje, investigación y cátedra.</w:t>
      </w:r>
    </w:p>
    <w:p w14:paraId="44B1842B" w14:textId="77777777" w:rsidR="004C4E72" w:rsidRDefault="004C4E72" w:rsidP="004B3A00">
      <w:pPr>
        <w:ind w:left="-567" w:right="-426"/>
        <w:jc w:val="both"/>
        <w:rPr>
          <w:rFonts w:cs="Arial"/>
        </w:rPr>
      </w:pPr>
    </w:p>
    <w:p w14:paraId="69284A2C" w14:textId="77777777" w:rsidR="004B3A00" w:rsidRDefault="001D1E55" w:rsidP="004B3A00">
      <w:pPr>
        <w:ind w:left="-567" w:right="-426"/>
        <w:jc w:val="both"/>
        <w:rPr>
          <w:rFonts w:cs="Arial"/>
        </w:rPr>
      </w:pPr>
      <w:proofErr w:type="gramStart"/>
      <w:r>
        <w:rPr>
          <w:rFonts w:cs="Arial"/>
        </w:rPr>
        <w:t>Que</w:t>
      </w:r>
      <w:proofErr w:type="gramEnd"/>
      <w:r w:rsidR="004B3A00">
        <w:rPr>
          <w:rFonts w:cs="Arial"/>
        </w:rPr>
        <w:t xml:space="preserve"> en mérito de lo expuesto,</w:t>
      </w:r>
    </w:p>
    <w:p w14:paraId="49B2710C" w14:textId="77777777" w:rsidR="004C4E72" w:rsidRPr="00116A3E" w:rsidRDefault="004C4E72" w:rsidP="004B3A00">
      <w:pPr>
        <w:ind w:left="-567" w:right="-426"/>
        <w:jc w:val="both"/>
        <w:rPr>
          <w:rFonts w:cs="Arial"/>
        </w:rPr>
      </w:pPr>
    </w:p>
    <w:p w14:paraId="5DA7A4E3" w14:textId="77777777" w:rsidR="004B3A00" w:rsidRPr="00116A3E" w:rsidRDefault="004B3A00" w:rsidP="00441073">
      <w:pPr>
        <w:ind w:right="-426"/>
        <w:jc w:val="both"/>
        <w:rPr>
          <w:rFonts w:cs="Arial"/>
        </w:rPr>
      </w:pPr>
    </w:p>
    <w:p w14:paraId="036D75E8" w14:textId="77777777" w:rsidR="00C234D4" w:rsidRPr="00116A3E" w:rsidRDefault="004B3A00" w:rsidP="004B3A00">
      <w:pPr>
        <w:ind w:left="-567" w:right="-426"/>
        <w:jc w:val="center"/>
        <w:rPr>
          <w:rFonts w:cs="Arial"/>
          <w:b/>
        </w:rPr>
      </w:pPr>
      <w:r w:rsidRPr="00116A3E">
        <w:rPr>
          <w:rFonts w:cs="Arial"/>
          <w:b/>
        </w:rPr>
        <w:t>RESUELVE</w:t>
      </w:r>
    </w:p>
    <w:p w14:paraId="1950E5CE" w14:textId="77777777" w:rsidR="00C234D4" w:rsidRDefault="00C234D4">
      <w:pPr>
        <w:ind w:left="-567" w:right="-426"/>
        <w:jc w:val="center"/>
        <w:rPr>
          <w:rFonts w:cs="Arial"/>
          <w:b/>
        </w:rPr>
      </w:pPr>
    </w:p>
    <w:p w14:paraId="4F8CBCDE" w14:textId="77777777" w:rsidR="00C234D4" w:rsidRPr="00116A3E" w:rsidRDefault="00C234D4">
      <w:pPr>
        <w:ind w:left="-567" w:right="-426"/>
        <w:jc w:val="center"/>
        <w:rPr>
          <w:rFonts w:cs="Arial"/>
          <w:b/>
        </w:rPr>
      </w:pPr>
    </w:p>
    <w:p w14:paraId="653670DB" w14:textId="77777777" w:rsidR="00BE7DF7" w:rsidRDefault="004B3A00" w:rsidP="00BE7DF7">
      <w:pPr>
        <w:ind w:left="-567" w:right="-426"/>
        <w:jc w:val="both"/>
        <w:rPr>
          <w:rFonts w:cs="Arial"/>
        </w:rPr>
      </w:pPr>
      <w:r w:rsidRPr="00116A3E">
        <w:rPr>
          <w:rFonts w:cs="Arial"/>
          <w:b/>
        </w:rPr>
        <w:t>Artículo 1.</w:t>
      </w:r>
      <w:r w:rsidR="004C4E72">
        <w:rPr>
          <w:rFonts w:cs="Arial"/>
          <w:b/>
        </w:rPr>
        <w:t xml:space="preserve"> </w:t>
      </w:r>
      <w:r w:rsidR="00BE7DF7" w:rsidRPr="00BE7DF7">
        <w:rPr>
          <w:rFonts w:cs="Arial"/>
          <w:b/>
          <w:i/>
        </w:rPr>
        <w:t xml:space="preserve">Cronograma. </w:t>
      </w:r>
      <w:r w:rsidR="00BE7DF7" w:rsidRPr="00010D72">
        <w:rPr>
          <w:rFonts w:cs="Arial"/>
        </w:rPr>
        <w:t>Fíjese el siguiente cronograma de actividades para la publicación de los resultados del Índice Sintético de Calidad Educativa (ISCE) de los establecimientos educativos en el año 201</w:t>
      </w:r>
      <w:r w:rsidR="00BE7DF7">
        <w:rPr>
          <w:rFonts w:cs="Arial"/>
        </w:rPr>
        <w:t>8</w:t>
      </w:r>
      <w:r w:rsidR="00BE7DF7" w:rsidRPr="00010D72">
        <w:rPr>
          <w:rFonts w:cs="Arial"/>
        </w:rPr>
        <w:t>:</w:t>
      </w:r>
    </w:p>
    <w:p w14:paraId="74946416" w14:textId="77777777" w:rsidR="00BE7DF7" w:rsidRDefault="00BE7DF7" w:rsidP="00BE7DF7">
      <w:pPr>
        <w:ind w:left="-567" w:right="-426"/>
        <w:jc w:val="both"/>
        <w:rPr>
          <w:rFonts w:cs="Arial"/>
        </w:rPr>
      </w:pPr>
    </w:p>
    <w:p w14:paraId="7BD09AB9" w14:textId="77777777" w:rsidR="006273B1" w:rsidRDefault="00440624" w:rsidP="00BE7DF7">
      <w:pPr>
        <w:ind w:left="-567" w:right="-426"/>
        <w:jc w:val="both"/>
        <w:rPr>
          <w:rFonts w:cs="Arial"/>
          <w:sz w:val="22"/>
          <w:szCs w:val="22"/>
        </w:rPr>
      </w:pPr>
      <w:r w:rsidRPr="00BE7DF7">
        <w:rPr>
          <w:rFonts w:cs="Arial"/>
        </w:rPr>
        <w:t xml:space="preserve"> </w:t>
      </w:r>
      <w:r w:rsidR="004B3A00" w:rsidRPr="00010D72">
        <w:rPr>
          <w:rFonts w:cs="Arial"/>
        </w:rPr>
        <w:t xml:space="preserve"> </w:t>
      </w:r>
    </w:p>
    <w:tbl>
      <w:tblPr>
        <w:tblStyle w:val="Tablaconcuadrcula"/>
        <w:tblW w:w="10207" w:type="dxa"/>
        <w:tblInd w:w="-431" w:type="dxa"/>
        <w:tblLook w:val="04A0" w:firstRow="1" w:lastRow="0" w:firstColumn="1" w:lastColumn="0" w:noHBand="0" w:noVBand="1"/>
      </w:tblPr>
      <w:tblGrid>
        <w:gridCol w:w="6096"/>
        <w:gridCol w:w="4111"/>
      </w:tblGrid>
      <w:tr w:rsidR="0080767D" w14:paraId="0B6A416E" w14:textId="77777777" w:rsidTr="005621A1">
        <w:tc>
          <w:tcPr>
            <w:tcW w:w="6096" w:type="dxa"/>
          </w:tcPr>
          <w:p w14:paraId="0CCC996E" w14:textId="77777777" w:rsidR="0080767D" w:rsidRPr="00CE5AA0" w:rsidRDefault="0080767D" w:rsidP="005621A1">
            <w:pPr>
              <w:jc w:val="center"/>
              <w:rPr>
                <w:b/>
              </w:rPr>
            </w:pPr>
            <w:r w:rsidRPr="00CE5AA0">
              <w:rPr>
                <w:b/>
              </w:rPr>
              <w:t>Actividad</w:t>
            </w:r>
          </w:p>
        </w:tc>
        <w:tc>
          <w:tcPr>
            <w:tcW w:w="4111" w:type="dxa"/>
          </w:tcPr>
          <w:p w14:paraId="2026CBEF" w14:textId="77777777" w:rsidR="0080767D" w:rsidRPr="00CE5AA0" w:rsidRDefault="0080767D" w:rsidP="005621A1">
            <w:pPr>
              <w:jc w:val="center"/>
              <w:rPr>
                <w:b/>
              </w:rPr>
            </w:pPr>
            <w:r w:rsidRPr="00CE5AA0">
              <w:rPr>
                <w:b/>
              </w:rPr>
              <w:t>Fecha</w:t>
            </w:r>
          </w:p>
        </w:tc>
      </w:tr>
      <w:tr w:rsidR="0080767D" w14:paraId="55D7DF09" w14:textId="77777777" w:rsidTr="0080767D">
        <w:tc>
          <w:tcPr>
            <w:tcW w:w="6096" w:type="dxa"/>
          </w:tcPr>
          <w:p w14:paraId="065CD5E2" w14:textId="77777777" w:rsidR="0080767D" w:rsidRDefault="0080767D" w:rsidP="005621A1">
            <w:pPr>
              <w:pStyle w:val="Prrafodelista"/>
              <w:numPr>
                <w:ilvl w:val="0"/>
                <w:numId w:val="37"/>
              </w:numPr>
              <w:jc w:val="both"/>
            </w:pPr>
            <w:r>
              <w:t xml:space="preserve">Publicación del ISCE en el </w:t>
            </w:r>
            <w:proofErr w:type="spellStart"/>
            <w:r>
              <w:t>Edusitio</w:t>
            </w:r>
            <w:proofErr w:type="spellEnd"/>
            <w:r>
              <w:t xml:space="preserve"> Siempre Día E</w:t>
            </w:r>
          </w:p>
        </w:tc>
        <w:tc>
          <w:tcPr>
            <w:tcW w:w="4111" w:type="dxa"/>
            <w:vAlign w:val="center"/>
          </w:tcPr>
          <w:p w14:paraId="3285E611" w14:textId="77777777" w:rsidR="0080767D" w:rsidRDefault="0080767D" w:rsidP="0080767D">
            <w:r>
              <w:t>7 de mayo de 2018</w:t>
            </w:r>
          </w:p>
        </w:tc>
      </w:tr>
      <w:tr w:rsidR="0080767D" w14:paraId="6DDC66E7" w14:textId="77777777" w:rsidTr="0080767D">
        <w:tc>
          <w:tcPr>
            <w:tcW w:w="6096" w:type="dxa"/>
          </w:tcPr>
          <w:p w14:paraId="55943356" w14:textId="77777777" w:rsidR="0080767D" w:rsidRDefault="0080767D" w:rsidP="005621A1">
            <w:pPr>
              <w:pStyle w:val="Prrafodelista"/>
              <w:numPr>
                <w:ilvl w:val="0"/>
                <w:numId w:val="37"/>
              </w:numPr>
              <w:jc w:val="both"/>
            </w:pPr>
            <w:r>
              <w:t>Reclamaciones o solicitudes de ajuste del ISCE al ICFES</w:t>
            </w:r>
          </w:p>
        </w:tc>
        <w:tc>
          <w:tcPr>
            <w:tcW w:w="4111" w:type="dxa"/>
            <w:vAlign w:val="center"/>
          </w:tcPr>
          <w:p w14:paraId="318246A1" w14:textId="0385F325" w:rsidR="0080767D" w:rsidRDefault="0080767D" w:rsidP="00866DDA">
            <w:r>
              <w:t>8 de mayo al 25 de junio de 2018</w:t>
            </w:r>
          </w:p>
        </w:tc>
      </w:tr>
      <w:tr w:rsidR="0080767D" w14:paraId="5B91D142" w14:textId="77777777" w:rsidTr="0080767D">
        <w:tc>
          <w:tcPr>
            <w:tcW w:w="6096" w:type="dxa"/>
          </w:tcPr>
          <w:p w14:paraId="3B6492A5" w14:textId="77777777" w:rsidR="0080767D" w:rsidRDefault="0080767D" w:rsidP="005621A1">
            <w:pPr>
              <w:pStyle w:val="Prrafodelista"/>
              <w:numPr>
                <w:ilvl w:val="0"/>
                <w:numId w:val="37"/>
              </w:numPr>
              <w:jc w:val="both"/>
            </w:pPr>
            <w:r>
              <w:t>Término para resolver las reclamaciones o solicitudes de ajuste del ISCE por parte del ICFES</w:t>
            </w:r>
          </w:p>
        </w:tc>
        <w:tc>
          <w:tcPr>
            <w:tcW w:w="4111" w:type="dxa"/>
            <w:vAlign w:val="center"/>
          </w:tcPr>
          <w:p w14:paraId="1C5A9EFB" w14:textId="77777777" w:rsidR="0080767D" w:rsidRDefault="0080767D" w:rsidP="0080767D">
            <w:r>
              <w:t>26 de junio al 25 de agosto de 2018</w:t>
            </w:r>
          </w:p>
        </w:tc>
      </w:tr>
      <w:tr w:rsidR="009E4C6C" w14:paraId="1ACB8272" w14:textId="77777777" w:rsidTr="0080767D">
        <w:tc>
          <w:tcPr>
            <w:tcW w:w="6096" w:type="dxa"/>
          </w:tcPr>
          <w:p w14:paraId="2FC6CEEC" w14:textId="657C16A5" w:rsidR="009E4C6C" w:rsidRDefault="009E4C6C" w:rsidP="009E4C6C">
            <w:pPr>
              <w:pStyle w:val="Prrafodelista"/>
              <w:numPr>
                <w:ilvl w:val="0"/>
                <w:numId w:val="37"/>
              </w:numPr>
              <w:jc w:val="both"/>
            </w:pPr>
            <w:r>
              <w:t xml:space="preserve">Primera actualización del ISCE </w:t>
            </w:r>
            <w:r w:rsidRPr="009E4C6C">
              <w:t>con base en las reclamaciones presentadas.</w:t>
            </w:r>
          </w:p>
        </w:tc>
        <w:tc>
          <w:tcPr>
            <w:tcW w:w="4111" w:type="dxa"/>
            <w:vAlign w:val="center"/>
          </w:tcPr>
          <w:p w14:paraId="78FCF18C" w14:textId="05428B57" w:rsidR="009E4C6C" w:rsidRDefault="009E4C6C" w:rsidP="009E4C6C">
            <w:r>
              <w:t>26 de agosto de 2018</w:t>
            </w:r>
          </w:p>
        </w:tc>
      </w:tr>
      <w:tr w:rsidR="009E4C6C" w14:paraId="410ABC96" w14:textId="77777777" w:rsidTr="0080767D">
        <w:tc>
          <w:tcPr>
            <w:tcW w:w="6096" w:type="dxa"/>
          </w:tcPr>
          <w:p w14:paraId="357315AA" w14:textId="213326B0" w:rsidR="009E4C6C" w:rsidRDefault="009E4C6C" w:rsidP="009E4C6C">
            <w:pPr>
              <w:pStyle w:val="Prrafodelista"/>
              <w:numPr>
                <w:ilvl w:val="0"/>
                <w:numId w:val="37"/>
              </w:numPr>
              <w:jc w:val="both"/>
            </w:pPr>
            <w:r>
              <w:t>Publicación de ISCE que tengan modificaciones o ajustes de acuerdo con las reclamaciones o solicitudes presentadas</w:t>
            </w:r>
            <w:r w:rsidR="00B03450">
              <w:t xml:space="preserve"> en la primera actualización</w:t>
            </w:r>
          </w:p>
        </w:tc>
        <w:tc>
          <w:tcPr>
            <w:tcW w:w="4111" w:type="dxa"/>
            <w:vAlign w:val="center"/>
          </w:tcPr>
          <w:p w14:paraId="1B12F341" w14:textId="661DFFB3" w:rsidR="009E4C6C" w:rsidRDefault="003E7FA3" w:rsidP="009E4C6C">
            <w:r>
              <w:t xml:space="preserve">14 </w:t>
            </w:r>
            <w:r w:rsidR="009E4C6C">
              <w:t>septiembre de 2018</w:t>
            </w:r>
          </w:p>
        </w:tc>
      </w:tr>
    </w:tbl>
    <w:p w14:paraId="53F19444" w14:textId="77777777" w:rsidR="00BE7DF7" w:rsidRDefault="00BE7DF7" w:rsidP="00BE7DF7">
      <w:pPr>
        <w:ind w:left="-567" w:right="-426"/>
        <w:jc w:val="both"/>
        <w:rPr>
          <w:rFonts w:cs="Arial"/>
          <w:sz w:val="22"/>
          <w:szCs w:val="22"/>
        </w:rPr>
      </w:pPr>
    </w:p>
    <w:p w14:paraId="75D1E35F" w14:textId="77777777" w:rsidR="00C234D4" w:rsidRPr="00116A3E" w:rsidRDefault="00C234D4" w:rsidP="004B3A00">
      <w:pPr>
        <w:ind w:left="-567" w:right="-426"/>
        <w:jc w:val="both"/>
        <w:rPr>
          <w:rFonts w:cs="Arial"/>
        </w:rPr>
      </w:pPr>
    </w:p>
    <w:p w14:paraId="100C9838" w14:textId="77777777" w:rsidR="00440624" w:rsidRDefault="006273B1" w:rsidP="004B3A00">
      <w:pPr>
        <w:ind w:left="-567" w:right="-426"/>
        <w:jc w:val="both"/>
        <w:rPr>
          <w:rFonts w:cs="Arial"/>
        </w:rPr>
      </w:pPr>
      <w:r w:rsidRPr="006273B1">
        <w:rPr>
          <w:rFonts w:cs="Arial"/>
          <w:b/>
        </w:rPr>
        <w:t xml:space="preserve">Artículo 2. </w:t>
      </w:r>
      <w:r>
        <w:rPr>
          <w:rFonts w:cs="Arial"/>
          <w:b/>
          <w:i/>
        </w:rPr>
        <w:t xml:space="preserve">Reclamaciones o solicitudes de ajuste del ISCE de los establecimientos educativos. </w:t>
      </w:r>
      <w:r>
        <w:rPr>
          <w:rFonts w:cs="Arial"/>
        </w:rPr>
        <w:t>Las reclamaciones o solicitudes de ajuste al ISCE deberán ser presentados por los establecimientos educativos a través de la plataforma de atención al ciudadano o de la plataforma que disponga el ICFES para este fin, de acuerdo con lo establecido en la Resolución 252 de 2017, modificada por la Resolución 751 del mismo año.</w:t>
      </w:r>
    </w:p>
    <w:p w14:paraId="4E38549D" w14:textId="77777777" w:rsidR="006273B1" w:rsidRDefault="006273B1" w:rsidP="004B3A00">
      <w:pPr>
        <w:ind w:left="-567" w:right="-426"/>
        <w:jc w:val="both"/>
        <w:rPr>
          <w:rFonts w:cs="Arial"/>
        </w:rPr>
      </w:pPr>
    </w:p>
    <w:p w14:paraId="6212F4AF" w14:textId="77777777" w:rsidR="006273B1" w:rsidRDefault="006273B1" w:rsidP="004B3A00">
      <w:pPr>
        <w:ind w:left="-567" w:right="-426"/>
        <w:jc w:val="both"/>
        <w:rPr>
          <w:rFonts w:cs="Arial"/>
        </w:rPr>
      </w:pPr>
      <w:r>
        <w:rPr>
          <w:rFonts w:cs="Arial"/>
        </w:rPr>
        <w:t>Las modificaciones o ajustes al ISCE solo procederán cuando se encuentren fundamentadas y se hayan presentado dentro del término dispuesto en el cronograma previsto en el artículo anterior.</w:t>
      </w:r>
    </w:p>
    <w:p w14:paraId="0C41BBC3" w14:textId="77777777" w:rsidR="006273B1" w:rsidRDefault="006273B1" w:rsidP="004B3A00">
      <w:pPr>
        <w:ind w:left="-567" w:right="-426"/>
        <w:jc w:val="both"/>
        <w:rPr>
          <w:rFonts w:cs="Arial"/>
        </w:rPr>
      </w:pPr>
    </w:p>
    <w:p w14:paraId="50CCE7AE" w14:textId="77777777" w:rsidR="006273B1" w:rsidRDefault="006273B1" w:rsidP="004B3A00">
      <w:pPr>
        <w:ind w:left="-567" w:right="-426"/>
        <w:jc w:val="both"/>
        <w:rPr>
          <w:rFonts w:cs="Arial"/>
        </w:rPr>
      </w:pPr>
      <w:r>
        <w:rPr>
          <w:rFonts w:cs="Arial"/>
        </w:rPr>
        <w:lastRenderedPageBreak/>
        <w:t>Contra la decisión que resuelva la reclamación o solicitud de ajuste del ISCE no procede ningún recurso.</w:t>
      </w:r>
    </w:p>
    <w:p w14:paraId="5FE0CEC2" w14:textId="77777777" w:rsidR="006273B1" w:rsidRDefault="006273B1" w:rsidP="004B3A00">
      <w:pPr>
        <w:ind w:left="-567" w:right="-426"/>
        <w:jc w:val="both"/>
        <w:rPr>
          <w:rFonts w:cs="Arial"/>
        </w:rPr>
      </w:pPr>
    </w:p>
    <w:p w14:paraId="4E68CC6E" w14:textId="77777777" w:rsidR="006273B1" w:rsidRPr="006273B1" w:rsidRDefault="006273B1" w:rsidP="004B3A00">
      <w:pPr>
        <w:ind w:left="-567" w:right="-426"/>
        <w:jc w:val="both"/>
        <w:rPr>
          <w:rFonts w:cs="Arial"/>
        </w:rPr>
      </w:pPr>
      <w:r>
        <w:rPr>
          <w:rFonts w:cs="Arial"/>
        </w:rPr>
        <w:t xml:space="preserve">El Ministerio de Educación Nacional publicará en el </w:t>
      </w:r>
      <w:proofErr w:type="spellStart"/>
      <w:r>
        <w:rPr>
          <w:rFonts w:cs="Arial"/>
        </w:rPr>
        <w:t>Edusitio</w:t>
      </w:r>
      <w:proofErr w:type="spellEnd"/>
      <w:r>
        <w:rPr>
          <w:rFonts w:cs="Arial"/>
        </w:rPr>
        <w:t xml:space="preserve"> Siempre Día </w:t>
      </w:r>
      <w:proofErr w:type="gramStart"/>
      <w:r>
        <w:rPr>
          <w:rFonts w:cs="Arial"/>
        </w:rPr>
        <w:t>E</w:t>
      </w:r>
      <w:proofErr w:type="gramEnd"/>
      <w:r>
        <w:rPr>
          <w:rFonts w:cs="Arial"/>
        </w:rPr>
        <w:t xml:space="preserve"> los ajustes al ISCE que el ICFES haya realizado.</w:t>
      </w:r>
    </w:p>
    <w:p w14:paraId="25777DA4" w14:textId="77777777" w:rsidR="006273B1" w:rsidRDefault="006273B1" w:rsidP="004B3A00">
      <w:pPr>
        <w:ind w:left="-567" w:right="-426"/>
        <w:jc w:val="both"/>
        <w:rPr>
          <w:rFonts w:cs="Arial"/>
        </w:rPr>
      </w:pPr>
    </w:p>
    <w:p w14:paraId="741BC2B5" w14:textId="77777777" w:rsidR="00BE7DF7" w:rsidRDefault="00440624" w:rsidP="00BE7DF7">
      <w:pPr>
        <w:ind w:left="-567" w:right="-426"/>
        <w:jc w:val="both"/>
        <w:rPr>
          <w:rFonts w:cs="Arial"/>
        </w:rPr>
      </w:pPr>
      <w:r w:rsidRPr="00010D72">
        <w:rPr>
          <w:rFonts w:cs="Arial"/>
          <w:b/>
        </w:rPr>
        <w:t>Artículo 3.</w:t>
      </w:r>
      <w:r>
        <w:rPr>
          <w:rFonts w:cs="Arial"/>
          <w:b/>
        </w:rPr>
        <w:t xml:space="preserve"> </w:t>
      </w:r>
      <w:r w:rsidR="00BE7DF7" w:rsidRPr="00010D72">
        <w:rPr>
          <w:rFonts w:cs="Arial"/>
          <w:b/>
          <w:i/>
        </w:rPr>
        <w:t>Actualización o ajuste al Índice de Calidad y al ISCE de las entidades territoriales certificadas en educación</w:t>
      </w:r>
      <w:r w:rsidR="00BE7DF7" w:rsidRPr="00BE7DF7">
        <w:rPr>
          <w:rFonts w:cs="Arial"/>
          <w:b/>
        </w:rPr>
        <w:t xml:space="preserve">. </w:t>
      </w:r>
      <w:r w:rsidR="00BE7DF7" w:rsidRPr="00010D72">
        <w:rPr>
          <w:rFonts w:cs="Arial"/>
        </w:rPr>
        <w:t xml:space="preserve">Si resultan procedentes </w:t>
      </w:r>
      <w:r w:rsidR="00917627">
        <w:rPr>
          <w:rFonts w:cs="Arial"/>
        </w:rPr>
        <w:t xml:space="preserve">las solicitudes </w:t>
      </w:r>
      <w:r w:rsidR="001D1E55">
        <w:rPr>
          <w:rFonts w:cs="Arial"/>
        </w:rPr>
        <w:t xml:space="preserve">de </w:t>
      </w:r>
      <w:r w:rsidR="001D1E55" w:rsidRPr="00010D72">
        <w:rPr>
          <w:rFonts w:cs="Arial"/>
        </w:rPr>
        <w:t>reclamación</w:t>
      </w:r>
      <w:r w:rsidR="00917627">
        <w:rPr>
          <w:rFonts w:cs="Arial"/>
        </w:rPr>
        <w:t xml:space="preserve"> frente a la publicación de resultados de las pruebas SABER 3°, 5° y 9</w:t>
      </w:r>
      <w:r w:rsidR="00074CEC">
        <w:rPr>
          <w:rFonts w:cs="Arial"/>
        </w:rPr>
        <w:t xml:space="preserve">°, </w:t>
      </w:r>
      <w:r w:rsidR="00074CEC" w:rsidRPr="00010D72">
        <w:rPr>
          <w:rFonts w:cs="Arial"/>
        </w:rPr>
        <w:t>el</w:t>
      </w:r>
      <w:r w:rsidR="00BE7DF7" w:rsidRPr="00010D72">
        <w:rPr>
          <w:rFonts w:cs="Arial"/>
        </w:rPr>
        <w:t xml:space="preserve"> Ministerio de Educación Nacional deberá verificar si varían los resultados consolidados del ISCE, de acuerdo con establecido tanto en el numeral 1</w:t>
      </w:r>
      <w:r w:rsidR="00BE7DF7">
        <w:rPr>
          <w:rFonts w:cs="Arial"/>
        </w:rPr>
        <w:t>.</w:t>
      </w:r>
      <w:r w:rsidR="00BE7DF7" w:rsidRPr="00010D72">
        <w:rPr>
          <w:rFonts w:cs="Arial"/>
        </w:rPr>
        <w:t xml:space="preserve">2 y el parágrafo 1 del Artículo 2.3.8.8.2.3.1, como en el artículo 2.3.8.8.2.3.2 del Decreto 1075 de 2015. </w:t>
      </w:r>
    </w:p>
    <w:p w14:paraId="68099A8E" w14:textId="77777777" w:rsidR="00BE7DF7" w:rsidRPr="00010D72" w:rsidRDefault="00BE7DF7" w:rsidP="00BE7DF7">
      <w:pPr>
        <w:ind w:left="-567" w:right="-426"/>
        <w:jc w:val="both"/>
        <w:rPr>
          <w:rFonts w:cs="Arial"/>
        </w:rPr>
      </w:pPr>
    </w:p>
    <w:p w14:paraId="537B1CB7" w14:textId="77777777" w:rsidR="00BE7DF7" w:rsidRPr="00010D72" w:rsidRDefault="00BE7DF7" w:rsidP="00BE7DF7">
      <w:pPr>
        <w:ind w:left="-567" w:right="-426"/>
        <w:jc w:val="both"/>
        <w:rPr>
          <w:rFonts w:cs="Arial"/>
        </w:rPr>
      </w:pPr>
      <w:r w:rsidRPr="00010D72">
        <w:rPr>
          <w:rFonts w:cs="Arial"/>
        </w:rPr>
        <w:t>En caso de que haya variación en alguno de estos resultados, el Ministerio de Educación Nacional publicará a más tardar e</w:t>
      </w:r>
      <w:r w:rsidR="0080767D">
        <w:rPr>
          <w:rFonts w:cs="Arial"/>
        </w:rPr>
        <w:t>l 30 de</w:t>
      </w:r>
      <w:r w:rsidR="00074CEC">
        <w:rPr>
          <w:rFonts w:cs="Arial"/>
        </w:rPr>
        <w:t xml:space="preserve"> octubre</w:t>
      </w:r>
      <w:r w:rsidRPr="00010D72">
        <w:rPr>
          <w:rFonts w:cs="Arial"/>
        </w:rPr>
        <w:t xml:space="preserve"> de 2018 dichos resultados.</w:t>
      </w:r>
    </w:p>
    <w:p w14:paraId="35097E3C" w14:textId="77777777" w:rsidR="00BE7DF7" w:rsidRDefault="00BE7DF7" w:rsidP="004B3A00">
      <w:pPr>
        <w:ind w:left="-567" w:right="-426"/>
        <w:jc w:val="both"/>
        <w:rPr>
          <w:rFonts w:cs="Arial"/>
        </w:rPr>
      </w:pPr>
    </w:p>
    <w:p w14:paraId="483C90E6" w14:textId="77777777" w:rsidR="00BE7DF7" w:rsidRDefault="00BE7DF7" w:rsidP="00BE7DF7">
      <w:pPr>
        <w:ind w:left="-567" w:right="-426"/>
        <w:jc w:val="both"/>
        <w:rPr>
          <w:rFonts w:cs="Arial"/>
        </w:rPr>
      </w:pPr>
      <w:r w:rsidRPr="00010D72">
        <w:rPr>
          <w:rFonts w:cs="Arial"/>
          <w:b/>
        </w:rPr>
        <w:t>Artículo 4.</w:t>
      </w:r>
      <w:r w:rsidRPr="00BE7DF7">
        <w:rPr>
          <w:rFonts w:cs="Arial"/>
        </w:rPr>
        <w:t xml:space="preserve"> </w:t>
      </w:r>
      <w:r w:rsidRPr="00010D72">
        <w:rPr>
          <w:rFonts w:cs="Arial"/>
          <w:b/>
          <w:i/>
        </w:rPr>
        <w:t>Planes de mejoramiento institucional.</w:t>
      </w:r>
      <w:r w:rsidRPr="00BE7DF7">
        <w:rPr>
          <w:rFonts w:cs="Arial"/>
        </w:rPr>
        <w:t xml:space="preserve"> Con los resultados del ISCE 201</w:t>
      </w:r>
      <w:r>
        <w:rPr>
          <w:rFonts w:cs="Arial"/>
        </w:rPr>
        <w:t>7</w:t>
      </w:r>
      <w:r w:rsidRPr="00BE7DF7">
        <w:rPr>
          <w:rFonts w:cs="Arial"/>
        </w:rPr>
        <w:t xml:space="preserve"> que se publiquen en el año 201</w:t>
      </w:r>
      <w:r>
        <w:rPr>
          <w:rFonts w:cs="Arial"/>
        </w:rPr>
        <w:t>8</w:t>
      </w:r>
      <w:r w:rsidRPr="00BE7DF7">
        <w:rPr>
          <w:rFonts w:cs="Arial"/>
        </w:rPr>
        <w:t>, según lo dispuesto en el artículo 1 de esta resolución, las entidades territoriales certificadas deberán promover la formulación, aplicación y ejecución de planes de mejoramiento de la calidad en los establecimientos educativos a su cargo.</w:t>
      </w:r>
    </w:p>
    <w:p w14:paraId="568F9DDF" w14:textId="77777777" w:rsidR="00BE7DF7" w:rsidRPr="00BE7DF7" w:rsidRDefault="00BE7DF7" w:rsidP="00BE7DF7">
      <w:pPr>
        <w:ind w:left="-567" w:right="-426"/>
        <w:jc w:val="both"/>
        <w:rPr>
          <w:rFonts w:cs="Arial"/>
        </w:rPr>
      </w:pPr>
      <w:r w:rsidRPr="00BE7DF7">
        <w:rPr>
          <w:rFonts w:cs="Arial"/>
        </w:rPr>
        <w:t xml:space="preserve"> </w:t>
      </w:r>
    </w:p>
    <w:p w14:paraId="5EA85771" w14:textId="77777777" w:rsidR="00BE7DF7" w:rsidRDefault="00BE7DF7" w:rsidP="00BE7DF7">
      <w:pPr>
        <w:ind w:left="-567" w:right="-426"/>
        <w:jc w:val="both"/>
        <w:rPr>
          <w:rFonts w:cs="Arial"/>
        </w:rPr>
      </w:pPr>
      <w:r w:rsidRPr="00BE7DF7">
        <w:rPr>
          <w:rFonts w:cs="Arial"/>
        </w:rPr>
        <w:t>Cuando los establecimientos educativos opten por formular planes de mejoramiento institucional, deberán reportarlos en el segundo semestre del año 201</w:t>
      </w:r>
      <w:r>
        <w:rPr>
          <w:rFonts w:cs="Arial"/>
        </w:rPr>
        <w:t>8</w:t>
      </w:r>
      <w:r w:rsidRPr="00BE7DF7">
        <w:rPr>
          <w:rFonts w:cs="Arial"/>
        </w:rPr>
        <w:t xml:space="preserve"> a las entidades territoriales respectivas, con el fin de que se incluyan en el sistema de información que disponga el Ministerio de Educación Nacional para el seguimiento a la gestión de la calidad educativa.</w:t>
      </w:r>
    </w:p>
    <w:p w14:paraId="7B2F654F" w14:textId="77777777" w:rsidR="00BE7DF7" w:rsidRPr="00BE7DF7" w:rsidRDefault="00BE7DF7" w:rsidP="00BE7DF7">
      <w:pPr>
        <w:ind w:left="-567" w:right="-426"/>
        <w:jc w:val="both"/>
        <w:rPr>
          <w:rFonts w:cs="Arial"/>
        </w:rPr>
      </w:pPr>
    </w:p>
    <w:p w14:paraId="644E910A" w14:textId="77777777" w:rsidR="00BE7DF7" w:rsidRDefault="00BE7DF7" w:rsidP="00BE7DF7">
      <w:pPr>
        <w:ind w:left="-567" w:right="-426"/>
        <w:jc w:val="both"/>
        <w:rPr>
          <w:rFonts w:cs="Arial"/>
        </w:rPr>
      </w:pPr>
      <w:r w:rsidRPr="00010D72">
        <w:rPr>
          <w:rFonts w:cs="Arial"/>
          <w:b/>
        </w:rPr>
        <w:t xml:space="preserve">Artículo 5. </w:t>
      </w:r>
      <w:r w:rsidRPr="00010D72">
        <w:rPr>
          <w:rFonts w:cs="Arial"/>
          <w:b/>
          <w:i/>
        </w:rPr>
        <w:t>Vigencia</w:t>
      </w:r>
      <w:r w:rsidRPr="00010D72">
        <w:rPr>
          <w:rFonts w:cs="Arial"/>
          <w:b/>
        </w:rPr>
        <w:t>.</w:t>
      </w:r>
      <w:r w:rsidRPr="00BE7DF7">
        <w:rPr>
          <w:rFonts w:cs="Arial"/>
        </w:rPr>
        <w:t xml:space="preserve"> La presente resolución rige a partir de su publicación.</w:t>
      </w:r>
    </w:p>
    <w:p w14:paraId="351F2AE3" w14:textId="77777777" w:rsidR="00BE7DF7" w:rsidRDefault="00BE7DF7" w:rsidP="004B3A00">
      <w:pPr>
        <w:ind w:left="-567" w:right="-426"/>
        <w:jc w:val="both"/>
        <w:rPr>
          <w:rFonts w:cs="Arial"/>
        </w:rPr>
      </w:pPr>
    </w:p>
    <w:p w14:paraId="07BD22C8" w14:textId="77777777" w:rsidR="004B3A00" w:rsidRPr="00116A3E" w:rsidRDefault="004B3A00" w:rsidP="004B3A00">
      <w:pPr>
        <w:ind w:left="-567" w:right="-426"/>
        <w:jc w:val="both"/>
        <w:rPr>
          <w:rFonts w:cs="Arial"/>
        </w:rPr>
      </w:pPr>
    </w:p>
    <w:p w14:paraId="7DEBFDBD" w14:textId="77777777" w:rsidR="004B3A00" w:rsidRPr="00116A3E" w:rsidRDefault="004B3A00" w:rsidP="004B3A00">
      <w:pPr>
        <w:ind w:left="-567" w:right="-426"/>
        <w:jc w:val="center"/>
        <w:rPr>
          <w:rFonts w:cs="Arial"/>
          <w:b/>
        </w:rPr>
      </w:pPr>
      <w:r w:rsidRPr="00116A3E">
        <w:rPr>
          <w:rFonts w:cs="Arial"/>
          <w:b/>
        </w:rPr>
        <w:t>PUBLÍQUESE Y CÚMPLASE</w:t>
      </w:r>
    </w:p>
    <w:p w14:paraId="61722682" w14:textId="77777777" w:rsidR="004B3A00" w:rsidRPr="00B37CCB" w:rsidRDefault="004B3A00" w:rsidP="004B3A00">
      <w:pPr>
        <w:ind w:left="-567" w:right="-426"/>
        <w:jc w:val="both"/>
        <w:rPr>
          <w:rFonts w:cs="Arial"/>
        </w:rPr>
      </w:pPr>
    </w:p>
    <w:p w14:paraId="733C23F6" w14:textId="77777777" w:rsidR="004B3A00" w:rsidRPr="00116A3E" w:rsidRDefault="004B3A00" w:rsidP="004B3A00">
      <w:pPr>
        <w:ind w:left="-567" w:right="-426"/>
        <w:jc w:val="both"/>
        <w:rPr>
          <w:rFonts w:cs="Arial"/>
        </w:rPr>
      </w:pPr>
      <w:r w:rsidRPr="00116A3E">
        <w:rPr>
          <w:rFonts w:cs="Arial"/>
        </w:rPr>
        <w:t>Dada en Bogotá D.C., a los</w:t>
      </w:r>
    </w:p>
    <w:p w14:paraId="653C934B" w14:textId="77777777" w:rsidR="00B037D8" w:rsidRDefault="00B037D8" w:rsidP="004B3A00">
      <w:pPr>
        <w:ind w:left="-567" w:right="-426"/>
        <w:jc w:val="both"/>
        <w:rPr>
          <w:rFonts w:cs="Arial"/>
        </w:rPr>
      </w:pPr>
    </w:p>
    <w:p w14:paraId="5FEB990F" w14:textId="77777777" w:rsidR="00B037D8" w:rsidRDefault="00B037D8" w:rsidP="004B3A00">
      <w:pPr>
        <w:ind w:left="-567" w:right="-426"/>
        <w:jc w:val="both"/>
        <w:rPr>
          <w:rFonts w:cs="Arial"/>
        </w:rPr>
      </w:pPr>
    </w:p>
    <w:p w14:paraId="6C5BB51B" w14:textId="77777777" w:rsidR="00B037D8" w:rsidRPr="00116A3E" w:rsidRDefault="00B037D8" w:rsidP="004B3A00">
      <w:pPr>
        <w:ind w:left="-567" w:right="-426"/>
        <w:jc w:val="both"/>
        <w:rPr>
          <w:rFonts w:cs="Arial"/>
        </w:rPr>
      </w:pPr>
    </w:p>
    <w:p w14:paraId="153FB2CA" w14:textId="77777777" w:rsidR="004B3A00" w:rsidRPr="00B37CCB" w:rsidRDefault="004B3A00" w:rsidP="004B3A00">
      <w:pPr>
        <w:ind w:left="-567" w:right="-426"/>
        <w:jc w:val="both"/>
        <w:rPr>
          <w:rFonts w:cs="Arial"/>
          <w:b/>
        </w:rPr>
      </w:pPr>
      <w:r w:rsidRPr="00116A3E">
        <w:rPr>
          <w:rFonts w:cs="Arial"/>
          <w:b/>
        </w:rPr>
        <w:t>LA MINISTRA DE EDUCACIÓN NACIONAL</w:t>
      </w:r>
      <w:r>
        <w:rPr>
          <w:rFonts w:cs="Arial"/>
          <w:b/>
        </w:rPr>
        <w:t>,</w:t>
      </w:r>
    </w:p>
    <w:p w14:paraId="47BAAB1A" w14:textId="77777777" w:rsidR="004B3A00" w:rsidRPr="00D430FF" w:rsidRDefault="004B3A00" w:rsidP="004B3A00">
      <w:pPr>
        <w:ind w:left="-567" w:right="-426"/>
        <w:jc w:val="both"/>
        <w:rPr>
          <w:rFonts w:cs="Arial"/>
          <w:b/>
        </w:rPr>
      </w:pPr>
    </w:p>
    <w:p w14:paraId="5F42D55E" w14:textId="77777777" w:rsidR="004B3A00" w:rsidRPr="00116A3E" w:rsidRDefault="004B3A00" w:rsidP="004B3A00">
      <w:pPr>
        <w:ind w:left="-567" w:right="-426"/>
        <w:jc w:val="both"/>
        <w:rPr>
          <w:rFonts w:cs="Arial"/>
          <w:b/>
        </w:rPr>
      </w:pPr>
    </w:p>
    <w:p w14:paraId="22005795" w14:textId="77777777" w:rsidR="004B3A00" w:rsidRDefault="004B3A00" w:rsidP="004B3A00">
      <w:pPr>
        <w:ind w:left="-567" w:right="-426"/>
        <w:jc w:val="right"/>
        <w:rPr>
          <w:rFonts w:cs="Arial"/>
          <w:b/>
        </w:rPr>
      </w:pPr>
    </w:p>
    <w:p w14:paraId="022CC035" w14:textId="77777777" w:rsidR="00B037D8" w:rsidRDefault="00B037D8" w:rsidP="004B3A00">
      <w:pPr>
        <w:ind w:left="-567" w:right="-426"/>
        <w:jc w:val="right"/>
        <w:rPr>
          <w:rFonts w:cs="Arial"/>
          <w:b/>
        </w:rPr>
      </w:pPr>
    </w:p>
    <w:p w14:paraId="09D652E6" w14:textId="77777777" w:rsidR="004B3A00" w:rsidRPr="00116A3E" w:rsidRDefault="004B3A00" w:rsidP="004B3A00">
      <w:pPr>
        <w:ind w:left="-567" w:right="-426"/>
        <w:jc w:val="right"/>
        <w:rPr>
          <w:rFonts w:cs="Arial"/>
          <w:b/>
        </w:rPr>
      </w:pPr>
      <w:r w:rsidRPr="00116A3E">
        <w:rPr>
          <w:rFonts w:cs="Arial"/>
          <w:b/>
        </w:rPr>
        <w:t>YANETH GIHA TOVAR</w:t>
      </w:r>
    </w:p>
    <w:p w14:paraId="7E370A62" w14:textId="77777777" w:rsidR="004B3A00" w:rsidRPr="00116A3E" w:rsidRDefault="004B3A00" w:rsidP="004B3A00">
      <w:pPr>
        <w:ind w:left="-567" w:right="-426"/>
        <w:jc w:val="both"/>
        <w:rPr>
          <w:rFonts w:cs="Arial"/>
        </w:rPr>
      </w:pPr>
    </w:p>
    <w:p w14:paraId="209657B7" w14:textId="77777777" w:rsidR="004B3A00" w:rsidRPr="00116A3E" w:rsidRDefault="004B3A00" w:rsidP="004B3A00">
      <w:pPr>
        <w:ind w:left="-567" w:right="-426"/>
        <w:jc w:val="both"/>
        <w:rPr>
          <w:rFonts w:cs="Arial"/>
        </w:rPr>
      </w:pPr>
      <w:r w:rsidRPr="00116A3E">
        <w:rPr>
          <w:rFonts w:cs="Arial"/>
        </w:rPr>
        <w:t xml:space="preserve"> </w:t>
      </w:r>
    </w:p>
    <w:p w14:paraId="42AFD76E" w14:textId="77777777" w:rsidR="004B3A00" w:rsidRDefault="004B3A00" w:rsidP="004B3A00">
      <w:pPr>
        <w:ind w:left="-567" w:right="-426"/>
        <w:rPr>
          <w:rFonts w:cs="Arial"/>
          <w:sz w:val="14"/>
          <w:szCs w:val="14"/>
        </w:rPr>
      </w:pPr>
    </w:p>
    <w:p w14:paraId="6EE86988" w14:textId="77777777" w:rsidR="004B3A00" w:rsidRDefault="004B3A00" w:rsidP="004B3A00">
      <w:pPr>
        <w:ind w:left="-567" w:right="-426"/>
        <w:rPr>
          <w:rFonts w:cs="Arial"/>
          <w:sz w:val="14"/>
          <w:szCs w:val="14"/>
        </w:rPr>
      </w:pPr>
    </w:p>
    <w:p w14:paraId="652566B0" w14:textId="77777777" w:rsidR="004B3A00" w:rsidRDefault="004B3A00" w:rsidP="004B3A00">
      <w:pPr>
        <w:ind w:left="-567" w:right="-426"/>
        <w:rPr>
          <w:rFonts w:cs="Arial"/>
          <w:sz w:val="14"/>
          <w:szCs w:val="14"/>
        </w:rPr>
      </w:pPr>
    </w:p>
    <w:p w14:paraId="66E15782" w14:textId="77777777" w:rsidR="00B671B2" w:rsidRDefault="004F7B53" w:rsidP="004B3A00">
      <w:pPr>
        <w:ind w:left="-567" w:right="-426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Aprobó: </w:t>
      </w:r>
      <w:r w:rsidR="00B671B2">
        <w:rPr>
          <w:rFonts w:cs="Arial"/>
          <w:sz w:val="14"/>
          <w:szCs w:val="14"/>
        </w:rPr>
        <w:t xml:space="preserve"> </w:t>
      </w:r>
      <w:r w:rsidR="0080767D">
        <w:rPr>
          <w:rFonts w:cs="Arial"/>
          <w:sz w:val="14"/>
          <w:szCs w:val="14"/>
        </w:rPr>
        <w:t>Helga Milena Hernández</w:t>
      </w:r>
      <w:r w:rsidR="00B671B2">
        <w:rPr>
          <w:rFonts w:cs="Arial"/>
          <w:sz w:val="14"/>
          <w:szCs w:val="14"/>
        </w:rPr>
        <w:t xml:space="preserve"> –</w:t>
      </w:r>
      <w:r w:rsidR="0080767D">
        <w:rPr>
          <w:rFonts w:cs="Arial"/>
          <w:sz w:val="14"/>
          <w:szCs w:val="14"/>
        </w:rPr>
        <w:t xml:space="preserve"> </w:t>
      </w:r>
      <w:r w:rsidR="00B671B2">
        <w:rPr>
          <w:rFonts w:cs="Arial"/>
          <w:sz w:val="14"/>
          <w:szCs w:val="14"/>
        </w:rPr>
        <w:t>Viceministra de Educación Preescolar, Básica y Media.</w:t>
      </w:r>
    </w:p>
    <w:p w14:paraId="6DE713CE" w14:textId="77777777" w:rsidR="00B671B2" w:rsidRDefault="00B671B2" w:rsidP="004B3A00">
      <w:pPr>
        <w:ind w:left="-567" w:right="-426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ab/>
        <w:t>Martha Lucía Trujillo Calderón – Jefe Oficina Asesora Jurídica.</w:t>
      </w:r>
    </w:p>
    <w:p w14:paraId="54EFB029" w14:textId="77777777" w:rsidR="00B671B2" w:rsidRDefault="00B671B2" w:rsidP="004B3A00">
      <w:pPr>
        <w:ind w:left="-567" w:right="-426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Revisó:  Diego Fernando Pulecio Herrera – Subdirector de Referentes y Evaluación de la Calidad Educativa</w:t>
      </w:r>
    </w:p>
    <w:p w14:paraId="0A45E525" w14:textId="77777777" w:rsidR="00B671B2" w:rsidRDefault="00B671B2" w:rsidP="004B3A00">
      <w:pPr>
        <w:ind w:left="-567" w:right="-426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ab/>
      </w:r>
      <w:r w:rsidR="00300EC3">
        <w:rPr>
          <w:rFonts w:cs="Arial"/>
          <w:sz w:val="14"/>
          <w:szCs w:val="14"/>
        </w:rPr>
        <w:t>C</w:t>
      </w:r>
      <w:r w:rsidR="00890A11">
        <w:rPr>
          <w:rFonts w:cs="Arial"/>
          <w:sz w:val="14"/>
          <w:szCs w:val="14"/>
        </w:rPr>
        <w:t>é</w:t>
      </w:r>
      <w:r w:rsidR="00300EC3">
        <w:rPr>
          <w:rFonts w:cs="Arial"/>
          <w:sz w:val="14"/>
          <w:szCs w:val="14"/>
        </w:rPr>
        <w:t>sar Efr</w:t>
      </w:r>
      <w:r w:rsidR="00890A11">
        <w:rPr>
          <w:rFonts w:cs="Arial"/>
          <w:sz w:val="14"/>
          <w:szCs w:val="14"/>
        </w:rPr>
        <w:t>é</w:t>
      </w:r>
      <w:r w:rsidR="001E7D27">
        <w:rPr>
          <w:rFonts w:cs="Arial"/>
          <w:sz w:val="14"/>
          <w:szCs w:val="14"/>
        </w:rPr>
        <w:t xml:space="preserve">n </w:t>
      </w:r>
      <w:r w:rsidR="00300EC3">
        <w:rPr>
          <w:rFonts w:cs="Arial"/>
          <w:sz w:val="14"/>
          <w:szCs w:val="14"/>
        </w:rPr>
        <w:t>Baquero</w:t>
      </w:r>
      <w:r>
        <w:rPr>
          <w:rFonts w:cs="Arial"/>
          <w:sz w:val="14"/>
          <w:szCs w:val="14"/>
        </w:rPr>
        <w:t xml:space="preserve"> – Abogad</w:t>
      </w:r>
      <w:r w:rsidR="00BF02A8">
        <w:rPr>
          <w:rFonts w:cs="Arial"/>
          <w:sz w:val="14"/>
          <w:szCs w:val="14"/>
        </w:rPr>
        <w:t>o</w:t>
      </w:r>
      <w:r>
        <w:rPr>
          <w:rFonts w:cs="Arial"/>
          <w:sz w:val="14"/>
          <w:szCs w:val="14"/>
        </w:rPr>
        <w:t xml:space="preserve"> Oficina Asesora Jurídica</w:t>
      </w:r>
    </w:p>
    <w:p w14:paraId="36748486" w14:textId="77777777" w:rsidR="00B671B2" w:rsidRDefault="00B671B2" w:rsidP="00B671B2">
      <w:pPr>
        <w:ind w:left="-567" w:right="-426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ab/>
      </w:r>
      <w:r w:rsidR="00BF02A8">
        <w:rPr>
          <w:rFonts w:cs="Arial"/>
          <w:sz w:val="14"/>
          <w:szCs w:val="14"/>
        </w:rPr>
        <w:t xml:space="preserve">Dayan </w:t>
      </w:r>
      <w:r>
        <w:rPr>
          <w:rFonts w:cs="Arial"/>
          <w:sz w:val="14"/>
          <w:szCs w:val="14"/>
        </w:rPr>
        <w:t>Eliana González</w:t>
      </w:r>
      <w:r w:rsidR="00BF02A8">
        <w:rPr>
          <w:rFonts w:cs="Arial"/>
          <w:sz w:val="14"/>
          <w:szCs w:val="14"/>
        </w:rPr>
        <w:t xml:space="preserve"> Barrera</w:t>
      </w:r>
      <w:r>
        <w:rPr>
          <w:rFonts w:cs="Arial"/>
          <w:sz w:val="14"/>
          <w:szCs w:val="14"/>
        </w:rPr>
        <w:t xml:space="preserve"> – Coordinadora Grupo de Normatividad Oficina Asesora Jurídica</w:t>
      </w:r>
    </w:p>
    <w:p w14:paraId="2F0CD87B" w14:textId="77777777" w:rsidR="00B671B2" w:rsidRDefault="00B671B2" w:rsidP="00B671B2">
      <w:pPr>
        <w:ind w:left="-567" w:right="-426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ab/>
        <w:t>William Ernesto González – Abogado Dirección de Calidad para la Educación Preescolar, Básica y Media.</w:t>
      </w:r>
    </w:p>
    <w:p w14:paraId="1AD9AB52" w14:textId="77777777" w:rsidR="00016F8B" w:rsidRPr="009F548C" w:rsidRDefault="00B671B2" w:rsidP="00EA53EA">
      <w:pPr>
        <w:ind w:left="-567" w:right="-426"/>
        <w:rPr>
          <w:rFonts w:cs="Arial"/>
          <w:b/>
          <w:sz w:val="22"/>
          <w:szCs w:val="22"/>
        </w:rPr>
      </w:pPr>
      <w:r>
        <w:rPr>
          <w:rFonts w:cs="Arial"/>
          <w:sz w:val="14"/>
          <w:szCs w:val="14"/>
        </w:rPr>
        <w:t>Proyectó: Juan Carlos González – Abogado Subdirección Referentes y Evaluación.</w:t>
      </w:r>
    </w:p>
    <w:sectPr w:rsidR="00016F8B" w:rsidRPr="009F548C" w:rsidSect="00113826">
      <w:headerReference w:type="even" r:id="rId8"/>
      <w:headerReference w:type="default" r:id="rId9"/>
      <w:footerReference w:type="even" r:id="rId10"/>
      <w:headerReference w:type="first" r:id="rId11"/>
      <w:pgSz w:w="12240" w:h="18720" w:code="14"/>
      <w:pgMar w:top="1701" w:right="1134" w:bottom="1701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3D342" w14:textId="77777777" w:rsidR="00E32417" w:rsidRDefault="00E32417">
      <w:r>
        <w:separator/>
      </w:r>
    </w:p>
  </w:endnote>
  <w:endnote w:type="continuationSeparator" w:id="0">
    <w:p w14:paraId="303E5C96" w14:textId="77777777" w:rsidR="00E32417" w:rsidRDefault="00E3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00"/>
    <w:family w:val="modern"/>
    <w:pitch w:val="fixed"/>
  </w:font>
  <w:font w:name="Arial Unicode MS">
    <w:panose1 w:val="020B0604020202020204"/>
    <w:charset w:val="00"/>
    <w:family w:val="swiss"/>
    <w:pitch w:val="variable"/>
  </w:font>
  <w:font w:name="Astaire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0A7AF" w14:textId="77777777" w:rsidR="00183D13" w:rsidRDefault="00183D13">
    <w:pPr>
      <w:pStyle w:val="Piedepgina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376DB" w14:textId="77777777" w:rsidR="00E32417" w:rsidRDefault="00E32417">
      <w:r>
        <w:separator/>
      </w:r>
    </w:p>
  </w:footnote>
  <w:footnote w:type="continuationSeparator" w:id="0">
    <w:p w14:paraId="556D38D1" w14:textId="77777777" w:rsidR="00E32417" w:rsidRDefault="00E32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B1DA4" w14:textId="77777777" w:rsidR="00183D13" w:rsidRDefault="00183D13">
    <w:pPr>
      <w:pStyle w:val="Encabezado"/>
      <w:tabs>
        <w:tab w:val="clear" w:pos="4320"/>
        <w:tab w:val="clear" w:pos="8640"/>
        <w:tab w:val="center" w:pos="5220"/>
      </w:tabs>
      <w:spacing w:before="272"/>
      <w:rPr>
        <w:b/>
      </w:rPr>
    </w:pPr>
    <w:r>
      <w:rPr>
        <w:b/>
        <w:lang w:val="pt-BR"/>
      </w:rPr>
      <w:t xml:space="preserve">DECRETO NUMERO _________________   de 2002    </w:t>
    </w:r>
    <w:proofErr w:type="spellStart"/>
    <w:r>
      <w:rPr>
        <w:b/>
        <w:lang w:val="pt-BR"/>
      </w:rPr>
      <w:t>Hoja</w:t>
    </w:r>
    <w:proofErr w:type="spellEnd"/>
    <w:r>
      <w:rPr>
        <w:b/>
        <w:lang w:val="pt-BR"/>
      </w:rPr>
      <w:t xml:space="preserve"> N°. </w:t>
    </w:r>
    <w:r>
      <w:rPr>
        <w:rStyle w:val="Nmerodepgina"/>
        <w:b/>
      </w:rPr>
      <w:fldChar w:fldCharType="begin"/>
    </w:r>
    <w:r>
      <w:rPr>
        <w:rStyle w:val="Nmerodepgina"/>
        <w:b/>
        <w:lang w:val="pt-BR"/>
      </w:rPr>
      <w:instrText xml:space="preserve"> PAGE </w:instrText>
    </w:r>
    <w:r>
      <w:rPr>
        <w:rStyle w:val="Nmerodepgina"/>
        <w:b/>
      </w:rPr>
      <w:fldChar w:fldCharType="separate"/>
    </w:r>
    <w:r>
      <w:rPr>
        <w:rStyle w:val="Nmerodepgina"/>
        <w:b/>
        <w:noProof/>
        <w:lang w:val="pt-BR"/>
      </w:rPr>
      <w:t>16</w:t>
    </w:r>
    <w:r>
      <w:rPr>
        <w:rStyle w:val="Nmerodepgina"/>
        <w:b/>
      </w:rPr>
      <w:fldChar w:fldCharType="end"/>
    </w:r>
  </w:p>
  <w:p w14:paraId="020CEABC" w14:textId="77777777" w:rsidR="00183D13" w:rsidRDefault="0080767D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E88C30A" wp14:editId="1FAF3412">
              <wp:simplePos x="0" y="0"/>
              <wp:positionH relativeFrom="page">
                <wp:posOffset>440055</wp:posOffset>
              </wp:positionH>
              <wp:positionV relativeFrom="page">
                <wp:posOffset>891540</wp:posOffset>
              </wp:positionV>
              <wp:extent cx="6872605" cy="10634345"/>
              <wp:effectExtent l="0" t="0" r="4445" b="0"/>
              <wp:wrapNone/>
              <wp:docPr id="5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2605" cy="10634345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/>
                        <a:ext uri="{AF507438-7753-43e0-B8FC-AC1667EBCBE1}"/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E1EBA1" id="Rectángulo 4" o:spid="_x0000_s1026" style="position:absolute;margin-left:34.65pt;margin-top:70.2pt;width:541.15pt;height:837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" o:allowincell="f" filled="f" strokeweight="2pt">
              <w10:wrap anchorx="page" anchory="page"/>
            </v:rect>
          </w:pict>
        </mc:Fallback>
      </mc:AlternateContent>
    </w:r>
  </w:p>
  <w:p w14:paraId="4495CCB8" w14:textId="77777777" w:rsidR="00183D13" w:rsidRDefault="00183D13">
    <w:pPr>
      <w:jc w:val="center"/>
      <w:rPr>
        <w:b/>
      </w:rPr>
    </w:pPr>
  </w:p>
  <w:p w14:paraId="41DB7EF2" w14:textId="77777777" w:rsidR="00183D13" w:rsidRDefault="0080767D">
    <w:pPr>
      <w:jc w:val="center"/>
      <w:rPr>
        <w:sz w:val="22"/>
      </w:rPr>
    </w:pPr>
    <w:r>
      <w:rPr>
        <w:noProof/>
        <w:lang w:val="es-CO" w:eastAsia="es-CO"/>
      </w:rPr>
      <mc:AlternateContent>
        <mc:Choice Requires="wps">
          <w:drawing>
            <wp:anchor distT="4294967295" distB="4294967295" distL="114300" distR="114300" simplePos="0" relativeHeight="251659776" behindDoc="0" locked="0" layoutInCell="0" allowOverlap="1" wp14:anchorId="1F6D5D6C" wp14:editId="41A5CBA1">
              <wp:simplePos x="0" y="0"/>
              <wp:positionH relativeFrom="column">
                <wp:posOffset>188595</wp:posOffset>
              </wp:positionH>
              <wp:positionV relativeFrom="paragraph">
                <wp:posOffset>406399</wp:posOffset>
              </wp:positionV>
              <wp:extent cx="6286500" cy="0"/>
              <wp:effectExtent l="0" t="0" r="0" b="0"/>
              <wp:wrapNone/>
              <wp:docPr id="4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052C8D" id="Conector recto 3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85pt,32pt" to="509.8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" o:allowincell="f"/>
          </w:pict>
        </mc:Fallback>
      </mc:AlternateContent>
    </w:r>
    <w:r w:rsidR="00183D13">
      <w:t xml:space="preserve">Continuación del decreto </w:t>
    </w:r>
    <w:r w:rsidR="00183D13">
      <w:rPr>
        <w:sz w:val="22"/>
      </w:rPr>
      <w:t xml:space="preserve">“Por el cual se </w:t>
    </w:r>
    <w:r w:rsidR="00183D13">
      <w:rPr>
        <w:color w:val="000000"/>
      </w:rPr>
      <w:t xml:space="preserve">reasignan unas funciones y competencias </w:t>
    </w:r>
    <w:r w:rsidR="00183D13">
      <w:rPr>
        <w:sz w:val="22"/>
      </w:rPr>
      <w:t>-”</w:t>
    </w:r>
  </w:p>
  <w:p w14:paraId="1CA1DB10" w14:textId="77777777" w:rsidR="00183D13" w:rsidRDefault="00183D13">
    <w:pPr>
      <w:jc w:val="center"/>
      <w:rPr>
        <w:sz w:val="22"/>
      </w:rPr>
    </w:pPr>
  </w:p>
  <w:p w14:paraId="085DC3CA" w14:textId="77777777" w:rsidR="00183D13" w:rsidRDefault="00183D13">
    <w:pPr>
      <w:jc w:val="center"/>
      <w:rPr>
        <w:snapToGrid w:val="0"/>
        <w:color w:val="000000"/>
        <w:sz w:val="18"/>
      </w:rPr>
    </w:pPr>
  </w:p>
  <w:p w14:paraId="102CE118" w14:textId="77777777" w:rsidR="00183D13" w:rsidRDefault="00183D13">
    <w:pPr>
      <w:jc w:val="center"/>
      <w:rPr>
        <w:snapToGrid w:val="0"/>
        <w:color w:val="000000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04F77" w14:textId="2DC9FC0B" w:rsidR="00183D13" w:rsidRDefault="00183D13">
    <w:pPr>
      <w:pStyle w:val="Encabezado"/>
      <w:jc w:val="center"/>
      <w:rPr>
        <w:b/>
      </w:rPr>
    </w:pPr>
    <w:r>
      <w:rPr>
        <w:b/>
        <w:lang w:val="pt-BR"/>
      </w:rPr>
      <w:t xml:space="preserve">RESOLUCIÓN NÚMERO  </w:t>
    </w:r>
    <w:r>
      <w:rPr>
        <w:b/>
        <w:sz w:val="22"/>
        <w:lang w:val="pt-BR"/>
      </w:rPr>
      <w:t xml:space="preserve">                </w:t>
    </w:r>
    <w:r>
      <w:rPr>
        <w:b/>
        <w:lang w:val="pt-BR"/>
      </w:rPr>
      <w:t xml:space="preserve">de 2018 </w:t>
    </w:r>
    <w:r w:rsidRPr="00E51047">
      <w:rPr>
        <w:b/>
        <w:lang w:val="es-CO"/>
      </w:rPr>
      <w:t>Hoja</w:t>
    </w:r>
    <w:r>
      <w:rPr>
        <w:b/>
        <w:lang w:val="pt-BR"/>
      </w:rPr>
      <w:t xml:space="preserve"> N°. </w:t>
    </w:r>
    <w:r>
      <w:rPr>
        <w:rStyle w:val="Nmerodepgina"/>
        <w:b/>
      </w:rPr>
      <w:fldChar w:fldCharType="begin"/>
    </w:r>
    <w:r>
      <w:rPr>
        <w:rStyle w:val="Nmerodepgina"/>
        <w:b/>
        <w:lang w:val="pt-BR"/>
      </w:rPr>
      <w:instrText xml:space="preserve"> PAGE </w:instrText>
    </w:r>
    <w:r>
      <w:rPr>
        <w:rStyle w:val="Nmerodepgina"/>
        <w:b/>
      </w:rPr>
      <w:fldChar w:fldCharType="separate"/>
    </w:r>
    <w:r w:rsidR="005718B8">
      <w:rPr>
        <w:rStyle w:val="Nmerodepgina"/>
        <w:b/>
        <w:noProof/>
        <w:lang w:val="pt-BR"/>
      </w:rPr>
      <w:t>3</w:t>
    </w:r>
    <w:r>
      <w:rPr>
        <w:rStyle w:val="Nmerodepgina"/>
        <w:b/>
      </w:rPr>
      <w:fldChar w:fldCharType="end"/>
    </w:r>
  </w:p>
  <w:p w14:paraId="42553989" w14:textId="77777777" w:rsidR="00183D13" w:rsidRDefault="0080767D" w:rsidP="00F873AB">
    <w:pPr>
      <w:ind w:right="49"/>
      <w:jc w:val="both"/>
      <w:rPr>
        <w:b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081BFB3" wp14:editId="5CA3F231">
              <wp:simplePos x="0" y="0"/>
              <wp:positionH relativeFrom="page">
                <wp:posOffset>478155</wp:posOffset>
              </wp:positionH>
              <wp:positionV relativeFrom="margin">
                <wp:posOffset>-1099820</wp:posOffset>
              </wp:positionV>
              <wp:extent cx="7059930" cy="10632440"/>
              <wp:effectExtent l="19050" t="19050" r="7620" b="0"/>
              <wp:wrapNone/>
              <wp:docPr id="3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9930" cy="10632440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/>
                        <a:ext uri="{AF507438-7753-43e0-B8FC-AC1667EBCBE1}"/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5674C2" id="Rectángulo 2" o:spid="_x0000_s1026" style="position:absolute;margin-left:37.65pt;margin-top:-86.6pt;width:555.9pt;height:837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" o:allowincell="f" filled="f" strokeweight="3pt">
              <w10:wrap anchorx="page" anchory="margin"/>
            </v:rect>
          </w:pict>
        </mc:Fallback>
      </mc:AlternateContent>
    </w:r>
  </w:p>
  <w:p w14:paraId="5A8D042D" w14:textId="77777777" w:rsidR="00183D13" w:rsidRPr="00E22027" w:rsidRDefault="00183D13" w:rsidP="00AD7307">
    <w:pPr>
      <w:pStyle w:val="Textoindependiente21"/>
      <w:ind w:right="-108"/>
      <w:jc w:val="both"/>
      <w:rPr>
        <w:rFonts w:eastAsia="Cambria" w:cs="Arial"/>
        <w:sz w:val="16"/>
        <w:szCs w:val="16"/>
        <w:lang w:val="es-CO" w:eastAsia="en-US"/>
      </w:rPr>
    </w:pPr>
  </w:p>
  <w:p w14:paraId="6EE61028" w14:textId="77777777" w:rsidR="00183D13" w:rsidRPr="00E22027" w:rsidRDefault="00183D13" w:rsidP="00F873AB">
    <w:pPr>
      <w:ind w:left="-567" w:right="-426"/>
      <w:rPr>
        <w:rFonts w:eastAsia="Cambria" w:cs="Arial"/>
        <w:sz w:val="18"/>
        <w:szCs w:val="18"/>
        <w:lang w:val="es-CO" w:eastAsia="en-US"/>
      </w:rPr>
    </w:pPr>
    <w:r w:rsidRPr="00E22027">
      <w:rPr>
        <w:rFonts w:eastAsia="Cambria" w:cs="Arial"/>
        <w:sz w:val="18"/>
        <w:szCs w:val="18"/>
        <w:lang w:val="es-CO" w:eastAsia="en-US"/>
      </w:rPr>
      <w:t>Continuación de la Resolución «</w:t>
    </w:r>
    <w:r w:rsidRPr="00E22027">
      <w:rPr>
        <w:rFonts w:eastAsia="Cambria" w:cs="Arial"/>
        <w:sz w:val="18"/>
        <w:szCs w:val="18"/>
        <w:lang w:eastAsia="en-US"/>
      </w:rPr>
      <w:t>Por la cual se establece el cronograma del índice Sintético de la Calidad Educativa (ISCE) para el año 2018 y se dictan otras disposiciones</w:t>
    </w:r>
    <w:r w:rsidRPr="00E22027">
      <w:rPr>
        <w:rFonts w:eastAsia="Cambria" w:cs="Arial"/>
        <w:sz w:val="18"/>
        <w:szCs w:val="18"/>
        <w:lang w:val="es-CO" w:eastAsia="en-US"/>
      </w:rPr>
      <w:t>»</w:t>
    </w:r>
  </w:p>
  <w:p w14:paraId="0B06B842" w14:textId="77777777" w:rsidR="00183D13" w:rsidRPr="00E22027" w:rsidRDefault="00183D13" w:rsidP="00441073">
    <w:pPr>
      <w:ind w:left="-567" w:right="-426" w:firstLine="567"/>
      <w:jc w:val="center"/>
      <w:rPr>
        <w:rFonts w:eastAsia="Cambria"/>
        <w:lang w:eastAsia="en-US"/>
      </w:rPr>
    </w:pPr>
  </w:p>
  <w:p w14:paraId="1BD77AD8" w14:textId="77777777" w:rsidR="00183D13" w:rsidRDefault="00183D13" w:rsidP="006D5003">
    <w:pPr>
      <w:pStyle w:val="Textoindependiente21"/>
      <w:spacing w:after="120"/>
      <w:ind w:right="-106"/>
      <w:jc w:val="both"/>
      <w:rPr>
        <w:sz w:val="20"/>
        <w:szCs w:val="20"/>
      </w:rPr>
    </w:pPr>
    <w:r w:rsidRPr="006944E0">
      <w:rPr>
        <w:sz w:val="20"/>
        <w:szCs w:val="20"/>
      </w:rPr>
      <w:t>---------------------------------------------------------------------------------------------------------------------------------</w:t>
    </w:r>
    <w:r>
      <w:rPr>
        <w:sz w:val="20"/>
        <w:szCs w:val="20"/>
      </w:rPr>
      <w:t>-----------</w:t>
    </w:r>
  </w:p>
  <w:p w14:paraId="34907328" w14:textId="77777777" w:rsidR="00183D13" w:rsidRPr="006944E0" w:rsidRDefault="00183D13" w:rsidP="006D5003">
    <w:pPr>
      <w:pStyle w:val="Textoindependiente21"/>
      <w:spacing w:after="120"/>
      <w:ind w:right="-106"/>
      <w:jc w:val="both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70D41" w14:textId="77777777" w:rsidR="00183D13" w:rsidRDefault="00183D13" w:rsidP="006D5003">
    <w:pPr>
      <w:pStyle w:val="Encabezado"/>
      <w:rPr>
        <w:b/>
        <w:sz w:val="24"/>
      </w:rPr>
    </w:pPr>
  </w:p>
  <w:p w14:paraId="5A0421EC" w14:textId="77777777" w:rsidR="00183D13" w:rsidRDefault="0080767D" w:rsidP="006D5003">
    <w:pPr>
      <w:pStyle w:val="Encabezado"/>
      <w:rPr>
        <w:b/>
        <w:sz w:val="24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88F3C89" wp14:editId="4A121B7A">
              <wp:simplePos x="0" y="0"/>
              <wp:positionH relativeFrom="page">
                <wp:posOffset>436245</wp:posOffset>
              </wp:positionH>
              <wp:positionV relativeFrom="page">
                <wp:posOffset>744220</wp:posOffset>
              </wp:positionV>
              <wp:extent cx="7102475" cy="10483850"/>
              <wp:effectExtent l="19050" t="19050" r="3175" b="0"/>
              <wp:wrapNone/>
              <wp:docPr id="2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02475" cy="10483850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/>
                        <a:ext uri="{AF507438-7753-43e0-B8FC-AC1667EBCBE1}"/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D63FC4" id="Rectángulo 1" o:spid="_x0000_s1026" style="position:absolute;margin-left:34.35pt;margin-top:58.6pt;width:559.25pt;height:825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" o:allowincell="f" filled="f" strokeweight="3pt">
              <w10:wrap anchorx="page" anchory="page"/>
            </v:rect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655680" behindDoc="0" locked="0" layoutInCell="1" allowOverlap="1" wp14:anchorId="33B4EAA4" wp14:editId="3E9A6ED1">
          <wp:simplePos x="0" y="0"/>
          <wp:positionH relativeFrom="column">
            <wp:posOffset>2346325</wp:posOffset>
          </wp:positionH>
          <wp:positionV relativeFrom="paragraph">
            <wp:posOffset>247650</wp:posOffset>
          </wp:positionV>
          <wp:extent cx="1323975" cy="771525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63F9F" w14:textId="77777777" w:rsidR="00183D13" w:rsidRDefault="00183D13" w:rsidP="006D5003">
    <w:pPr>
      <w:pStyle w:val="Encabezado"/>
      <w:rPr>
        <w:b/>
        <w:sz w:val="24"/>
      </w:rPr>
    </w:pPr>
  </w:p>
  <w:p w14:paraId="7E13BA08" w14:textId="77777777" w:rsidR="00183D13" w:rsidRPr="001E7D27" w:rsidRDefault="00183D13" w:rsidP="006D5003">
    <w:pPr>
      <w:pStyle w:val="Encabezado"/>
      <w:jc w:val="center"/>
      <w:rPr>
        <w:b/>
        <w:sz w:val="24"/>
      </w:rPr>
    </w:pPr>
    <w:r w:rsidRPr="001E7D27">
      <w:rPr>
        <w:b/>
        <w:sz w:val="24"/>
      </w:rPr>
      <w:t>MINISTERIO DE EDUCACIÓN NACIONAL</w:t>
    </w:r>
  </w:p>
  <w:p w14:paraId="55D4CE19" w14:textId="77777777" w:rsidR="00183D13" w:rsidRPr="001E7D27" w:rsidRDefault="00183D13" w:rsidP="00847D93">
    <w:pPr>
      <w:pStyle w:val="Encabezado"/>
      <w:rPr>
        <w:b/>
        <w:sz w:val="24"/>
      </w:rPr>
    </w:pPr>
  </w:p>
  <w:p w14:paraId="5FF38566" w14:textId="77777777" w:rsidR="00183D13" w:rsidRPr="001E7D27" w:rsidRDefault="00183D13" w:rsidP="006D5003">
    <w:pPr>
      <w:pStyle w:val="Encabezad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01E8"/>
    <w:multiLevelType w:val="hybridMultilevel"/>
    <w:tmpl w:val="B9E634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331BB"/>
    <w:multiLevelType w:val="hybridMultilevel"/>
    <w:tmpl w:val="115437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6AD7"/>
    <w:multiLevelType w:val="hybridMultilevel"/>
    <w:tmpl w:val="CAD4A74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91AB2"/>
    <w:multiLevelType w:val="hybridMultilevel"/>
    <w:tmpl w:val="FB1E727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03CE4"/>
    <w:multiLevelType w:val="hybridMultilevel"/>
    <w:tmpl w:val="6B5C0950"/>
    <w:lvl w:ilvl="0" w:tplc="857698BA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2053E2"/>
    <w:multiLevelType w:val="hybridMultilevel"/>
    <w:tmpl w:val="82EE8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77696"/>
    <w:multiLevelType w:val="hybridMultilevel"/>
    <w:tmpl w:val="8DEC36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F7707"/>
    <w:multiLevelType w:val="hybridMultilevel"/>
    <w:tmpl w:val="3D68270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917A3B"/>
    <w:multiLevelType w:val="hybridMultilevel"/>
    <w:tmpl w:val="F8AEDE78"/>
    <w:lvl w:ilvl="0" w:tplc="240A000F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9" w15:restartNumberingAfterBreak="0">
    <w:nsid w:val="15BF6F3E"/>
    <w:multiLevelType w:val="hybridMultilevel"/>
    <w:tmpl w:val="3D50961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9A7FAB"/>
    <w:multiLevelType w:val="hybridMultilevel"/>
    <w:tmpl w:val="FB1E727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53F7C"/>
    <w:multiLevelType w:val="hybridMultilevel"/>
    <w:tmpl w:val="8B085D8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A46E7D"/>
    <w:multiLevelType w:val="hybridMultilevel"/>
    <w:tmpl w:val="9E48C9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5194F"/>
    <w:multiLevelType w:val="hybridMultilevel"/>
    <w:tmpl w:val="091E286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BB69F6"/>
    <w:multiLevelType w:val="hybridMultilevel"/>
    <w:tmpl w:val="A09898B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7D04E3"/>
    <w:multiLevelType w:val="hybridMultilevel"/>
    <w:tmpl w:val="6EFC23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664FE"/>
    <w:multiLevelType w:val="hybridMultilevel"/>
    <w:tmpl w:val="1FAC90F8"/>
    <w:lvl w:ilvl="0" w:tplc="FCDABF64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270FFC"/>
    <w:multiLevelType w:val="hybridMultilevel"/>
    <w:tmpl w:val="EC7033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F78B2"/>
    <w:multiLevelType w:val="hybridMultilevel"/>
    <w:tmpl w:val="420AD186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11135F"/>
    <w:multiLevelType w:val="hybridMultilevel"/>
    <w:tmpl w:val="17AA27E4"/>
    <w:lvl w:ilvl="0" w:tplc="845051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872F0"/>
    <w:multiLevelType w:val="hybridMultilevel"/>
    <w:tmpl w:val="4C06E8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13915"/>
    <w:multiLevelType w:val="hybridMultilevel"/>
    <w:tmpl w:val="64488B82"/>
    <w:lvl w:ilvl="0" w:tplc="D08E66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34F72"/>
    <w:multiLevelType w:val="hybridMultilevel"/>
    <w:tmpl w:val="266A3DA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8E37BC"/>
    <w:multiLevelType w:val="hybridMultilevel"/>
    <w:tmpl w:val="BDF6300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C6FBB"/>
    <w:multiLevelType w:val="hybridMultilevel"/>
    <w:tmpl w:val="C4965266"/>
    <w:lvl w:ilvl="0" w:tplc="3EAEFB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9370E"/>
    <w:multiLevelType w:val="hybridMultilevel"/>
    <w:tmpl w:val="AF8069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E567D"/>
    <w:multiLevelType w:val="hybridMultilevel"/>
    <w:tmpl w:val="76B2E6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C2798F"/>
    <w:multiLevelType w:val="hybridMultilevel"/>
    <w:tmpl w:val="91D2C2D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B12FD5"/>
    <w:multiLevelType w:val="hybridMultilevel"/>
    <w:tmpl w:val="C8CCE78C"/>
    <w:lvl w:ilvl="0" w:tplc="67ACA3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B441A7"/>
    <w:multiLevelType w:val="hybridMultilevel"/>
    <w:tmpl w:val="DF94E41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9558AE"/>
    <w:multiLevelType w:val="hybridMultilevel"/>
    <w:tmpl w:val="D916DAAA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E32CF1"/>
    <w:multiLevelType w:val="hybridMultilevel"/>
    <w:tmpl w:val="FB766F42"/>
    <w:lvl w:ilvl="0" w:tplc="229AE752">
      <w:start w:val="1"/>
      <w:numFmt w:val="decimal"/>
      <w:lvlText w:val="%1)"/>
      <w:lvlJc w:val="left"/>
      <w:pPr>
        <w:ind w:left="218" w:hanging="360"/>
      </w:pPr>
      <w:rPr>
        <w:rFonts w:hint="default"/>
        <w:b w:val="0"/>
        <w:i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2" w15:restartNumberingAfterBreak="0">
    <w:nsid w:val="742F10CE"/>
    <w:multiLevelType w:val="hybridMultilevel"/>
    <w:tmpl w:val="FB1E727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9B4E23"/>
    <w:multiLevelType w:val="hybridMultilevel"/>
    <w:tmpl w:val="67A6AB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C6EDF"/>
    <w:multiLevelType w:val="hybridMultilevel"/>
    <w:tmpl w:val="5CC6AE9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E30C74"/>
    <w:multiLevelType w:val="hybridMultilevel"/>
    <w:tmpl w:val="067898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D45A2A"/>
    <w:multiLevelType w:val="hybridMultilevel"/>
    <w:tmpl w:val="91CCD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23"/>
  </w:num>
  <w:num w:numId="4">
    <w:abstractNumId w:val="25"/>
  </w:num>
  <w:num w:numId="5">
    <w:abstractNumId w:val="36"/>
  </w:num>
  <w:num w:numId="6">
    <w:abstractNumId w:val="22"/>
  </w:num>
  <w:num w:numId="7">
    <w:abstractNumId w:val="20"/>
  </w:num>
  <w:num w:numId="8">
    <w:abstractNumId w:val="16"/>
  </w:num>
  <w:num w:numId="9">
    <w:abstractNumId w:val="28"/>
  </w:num>
  <w:num w:numId="10">
    <w:abstractNumId w:val="27"/>
  </w:num>
  <w:num w:numId="11">
    <w:abstractNumId w:val="26"/>
  </w:num>
  <w:num w:numId="12">
    <w:abstractNumId w:val="34"/>
  </w:num>
  <w:num w:numId="13">
    <w:abstractNumId w:val="11"/>
  </w:num>
  <w:num w:numId="14">
    <w:abstractNumId w:val="7"/>
  </w:num>
  <w:num w:numId="15">
    <w:abstractNumId w:val="14"/>
  </w:num>
  <w:num w:numId="16">
    <w:abstractNumId w:val="33"/>
  </w:num>
  <w:num w:numId="17">
    <w:abstractNumId w:val="1"/>
  </w:num>
  <w:num w:numId="18">
    <w:abstractNumId w:val="9"/>
  </w:num>
  <w:num w:numId="19">
    <w:abstractNumId w:val="30"/>
  </w:num>
  <w:num w:numId="20">
    <w:abstractNumId w:val="4"/>
  </w:num>
  <w:num w:numId="21">
    <w:abstractNumId w:val="18"/>
  </w:num>
  <w:num w:numId="22">
    <w:abstractNumId w:val="2"/>
  </w:num>
  <w:num w:numId="23">
    <w:abstractNumId w:val="15"/>
  </w:num>
  <w:num w:numId="24">
    <w:abstractNumId w:val="12"/>
  </w:num>
  <w:num w:numId="25">
    <w:abstractNumId w:val="13"/>
  </w:num>
  <w:num w:numId="26">
    <w:abstractNumId w:val="31"/>
  </w:num>
  <w:num w:numId="27">
    <w:abstractNumId w:val="8"/>
  </w:num>
  <w:num w:numId="28">
    <w:abstractNumId w:val="35"/>
  </w:num>
  <w:num w:numId="29">
    <w:abstractNumId w:val="32"/>
  </w:num>
  <w:num w:numId="30">
    <w:abstractNumId w:val="10"/>
  </w:num>
  <w:num w:numId="31">
    <w:abstractNumId w:val="3"/>
  </w:num>
  <w:num w:numId="32">
    <w:abstractNumId w:val="21"/>
  </w:num>
  <w:num w:numId="33">
    <w:abstractNumId w:val="0"/>
  </w:num>
  <w:num w:numId="34">
    <w:abstractNumId w:val="6"/>
  </w:num>
  <w:num w:numId="35">
    <w:abstractNumId w:val="19"/>
  </w:num>
  <w:num w:numId="36">
    <w:abstractNumId w:val="24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6" w:nlCheck="1" w:checkStyle="0"/>
  <w:activeWritingStyle w:appName="MSWord" w:lang="es-CO" w:vendorID="64" w:dllVersion="6" w:nlCheck="1" w:checkStyle="0"/>
  <w:activeWritingStyle w:appName="MSWord" w:lang="pt-BR" w:vendorID="64" w:dllVersion="6" w:nlCheck="1" w:checkStyle="0"/>
  <w:activeWritingStyle w:appName="MSWord" w:lang="es-ES_tradnl" w:vendorID="64" w:dllVersion="6" w:nlCheck="1" w:checkStyle="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004"/>
    <w:rsid w:val="00002DBA"/>
    <w:rsid w:val="000034F3"/>
    <w:rsid w:val="00003DD5"/>
    <w:rsid w:val="000041C0"/>
    <w:rsid w:val="00007899"/>
    <w:rsid w:val="00010D72"/>
    <w:rsid w:val="00011579"/>
    <w:rsid w:val="00016F8B"/>
    <w:rsid w:val="0002278D"/>
    <w:rsid w:val="0002559E"/>
    <w:rsid w:val="0002598D"/>
    <w:rsid w:val="000261C0"/>
    <w:rsid w:val="00033103"/>
    <w:rsid w:val="00042C7B"/>
    <w:rsid w:val="000436BC"/>
    <w:rsid w:val="0004567E"/>
    <w:rsid w:val="000600C6"/>
    <w:rsid w:val="00062B3D"/>
    <w:rsid w:val="00062BCA"/>
    <w:rsid w:val="00063E33"/>
    <w:rsid w:val="00074CEC"/>
    <w:rsid w:val="00081D61"/>
    <w:rsid w:val="00091663"/>
    <w:rsid w:val="000A3682"/>
    <w:rsid w:val="000B0539"/>
    <w:rsid w:val="000B238F"/>
    <w:rsid w:val="000B3261"/>
    <w:rsid w:val="000B598E"/>
    <w:rsid w:val="000C07D0"/>
    <w:rsid w:val="000C1481"/>
    <w:rsid w:val="000C2F82"/>
    <w:rsid w:val="000C396A"/>
    <w:rsid w:val="000C4BE0"/>
    <w:rsid w:val="000D5C37"/>
    <w:rsid w:val="000E2ABB"/>
    <w:rsid w:val="000E581A"/>
    <w:rsid w:val="000F0E0F"/>
    <w:rsid w:val="000F0F2A"/>
    <w:rsid w:val="00105FCB"/>
    <w:rsid w:val="00107ECE"/>
    <w:rsid w:val="00113826"/>
    <w:rsid w:val="00117CC1"/>
    <w:rsid w:val="00121E1A"/>
    <w:rsid w:val="00122A55"/>
    <w:rsid w:val="0013067D"/>
    <w:rsid w:val="00132F9E"/>
    <w:rsid w:val="001477A9"/>
    <w:rsid w:val="001509C1"/>
    <w:rsid w:val="00151098"/>
    <w:rsid w:val="0015570A"/>
    <w:rsid w:val="00155E10"/>
    <w:rsid w:val="00163FBB"/>
    <w:rsid w:val="00167C0A"/>
    <w:rsid w:val="00171422"/>
    <w:rsid w:val="00173418"/>
    <w:rsid w:val="00182829"/>
    <w:rsid w:val="00183B22"/>
    <w:rsid w:val="00183D13"/>
    <w:rsid w:val="001854CA"/>
    <w:rsid w:val="001858B1"/>
    <w:rsid w:val="00197B7E"/>
    <w:rsid w:val="001A491E"/>
    <w:rsid w:val="001B140A"/>
    <w:rsid w:val="001B2FB1"/>
    <w:rsid w:val="001C5BDA"/>
    <w:rsid w:val="001D1E55"/>
    <w:rsid w:val="001E030C"/>
    <w:rsid w:val="001E0DBE"/>
    <w:rsid w:val="001E2394"/>
    <w:rsid w:val="001E7378"/>
    <w:rsid w:val="001E7D27"/>
    <w:rsid w:val="001F2004"/>
    <w:rsid w:val="001F2417"/>
    <w:rsid w:val="001F2877"/>
    <w:rsid w:val="001F2F2F"/>
    <w:rsid w:val="001F6671"/>
    <w:rsid w:val="0020033D"/>
    <w:rsid w:val="00203349"/>
    <w:rsid w:val="002129B3"/>
    <w:rsid w:val="00220F8E"/>
    <w:rsid w:val="0022279E"/>
    <w:rsid w:val="00237BAF"/>
    <w:rsid w:val="002502E7"/>
    <w:rsid w:val="00251D57"/>
    <w:rsid w:val="00255099"/>
    <w:rsid w:val="00257FE0"/>
    <w:rsid w:val="002613C9"/>
    <w:rsid w:val="002617A0"/>
    <w:rsid w:val="0027568E"/>
    <w:rsid w:val="00276D79"/>
    <w:rsid w:val="002773B3"/>
    <w:rsid w:val="00277626"/>
    <w:rsid w:val="0029286D"/>
    <w:rsid w:val="00293096"/>
    <w:rsid w:val="002934D5"/>
    <w:rsid w:val="00294680"/>
    <w:rsid w:val="00296B2D"/>
    <w:rsid w:val="002A49F8"/>
    <w:rsid w:val="002A4E0C"/>
    <w:rsid w:val="002C4803"/>
    <w:rsid w:val="002C58DE"/>
    <w:rsid w:val="002C6654"/>
    <w:rsid w:val="002D08C4"/>
    <w:rsid w:val="002D28F3"/>
    <w:rsid w:val="002D2C4C"/>
    <w:rsid w:val="002D70E9"/>
    <w:rsid w:val="002D74BB"/>
    <w:rsid w:val="002F1FF0"/>
    <w:rsid w:val="002F30F5"/>
    <w:rsid w:val="002F35FD"/>
    <w:rsid w:val="002F5115"/>
    <w:rsid w:val="002F6E94"/>
    <w:rsid w:val="002F7E6C"/>
    <w:rsid w:val="00300EC3"/>
    <w:rsid w:val="003022A2"/>
    <w:rsid w:val="0031323A"/>
    <w:rsid w:val="00314999"/>
    <w:rsid w:val="003174EF"/>
    <w:rsid w:val="00330BEC"/>
    <w:rsid w:val="00330F87"/>
    <w:rsid w:val="00332049"/>
    <w:rsid w:val="00335568"/>
    <w:rsid w:val="003356C9"/>
    <w:rsid w:val="003371DE"/>
    <w:rsid w:val="00341738"/>
    <w:rsid w:val="00344807"/>
    <w:rsid w:val="00355512"/>
    <w:rsid w:val="00360CA3"/>
    <w:rsid w:val="00373348"/>
    <w:rsid w:val="003734B3"/>
    <w:rsid w:val="00373BBF"/>
    <w:rsid w:val="00374385"/>
    <w:rsid w:val="003743C3"/>
    <w:rsid w:val="00377740"/>
    <w:rsid w:val="00382531"/>
    <w:rsid w:val="00383933"/>
    <w:rsid w:val="00385999"/>
    <w:rsid w:val="00387E3B"/>
    <w:rsid w:val="00390724"/>
    <w:rsid w:val="00394FC0"/>
    <w:rsid w:val="003A1868"/>
    <w:rsid w:val="003A67F2"/>
    <w:rsid w:val="003B04C9"/>
    <w:rsid w:val="003D4517"/>
    <w:rsid w:val="003D4F86"/>
    <w:rsid w:val="003E16E2"/>
    <w:rsid w:val="003E4EEE"/>
    <w:rsid w:val="003E7FA3"/>
    <w:rsid w:val="003F141D"/>
    <w:rsid w:val="003F3671"/>
    <w:rsid w:val="00405C11"/>
    <w:rsid w:val="004074DD"/>
    <w:rsid w:val="0040794E"/>
    <w:rsid w:val="0041745B"/>
    <w:rsid w:val="004203CE"/>
    <w:rsid w:val="00425C47"/>
    <w:rsid w:val="004277FC"/>
    <w:rsid w:val="00433D9E"/>
    <w:rsid w:val="00440624"/>
    <w:rsid w:val="00441073"/>
    <w:rsid w:val="00443C58"/>
    <w:rsid w:val="0044598A"/>
    <w:rsid w:val="0045212E"/>
    <w:rsid w:val="00452D4A"/>
    <w:rsid w:val="004578CF"/>
    <w:rsid w:val="00460C3E"/>
    <w:rsid w:val="00460CC5"/>
    <w:rsid w:val="004658AE"/>
    <w:rsid w:val="0047699F"/>
    <w:rsid w:val="00477940"/>
    <w:rsid w:val="0048140B"/>
    <w:rsid w:val="00482606"/>
    <w:rsid w:val="00485E5B"/>
    <w:rsid w:val="004A5E99"/>
    <w:rsid w:val="004B3A00"/>
    <w:rsid w:val="004B60F5"/>
    <w:rsid w:val="004B775F"/>
    <w:rsid w:val="004C1F8F"/>
    <w:rsid w:val="004C2CB5"/>
    <w:rsid w:val="004C4C70"/>
    <w:rsid w:val="004C4E72"/>
    <w:rsid w:val="004C75B8"/>
    <w:rsid w:val="004C79C4"/>
    <w:rsid w:val="004D00DB"/>
    <w:rsid w:val="004F2C7F"/>
    <w:rsid w:val="004F6B06"/>
    <w:rsid w:val="004F7B53"/>
    <w:rsid w:val="00501F5E"/>
    <w:rsid w:val="00502E42"/>
    <w:rsid w:val="00513606"/>
    <w:rsid w:val="00520968"/>
    <w:rsid w:val="00525F4B"/>
    <w:rsid w:val="00530C40"/>
    <w:rsid w:val="00532C7C"/>
    <w:rsid w:val="0054327B"/>
    <w:rsid w:val="00543436"/>
    <w:rsid w:val="00553556"/>
    <w:rsid w:val="00560DA4"/>
    <w:rsid w:val="00566ADF"/>
    <w:rsid w:val="00567145"/>
    <w:rsid w:val="005679D0"/>
    <w:rsid w:val="005718B8"/>
    <w:rsid w:val="005740F8"/>
    <w:rsid w:val="00575CFF"/>
    <w:rsid w:val="00575E0D"/>
    <w:rsid w:val="00582C46"/>
    <w:rsid w:val="00584C80"/>
    <w:rsid w:val="00586BCB"/>
    <w:rsid w:val="00587B45"/>
    <w:rsid w:val="0059604D"/>
    <w:rsid w:val="005A7385"/>
    <w:rsid w:val="005B08FC"/>
    <w:rsid w:val="005B1456"/>
    <w:rsid w:val="005C0958"/>
    <w:rsid w:val="005C105E"/>
    <w:rsid w:val="005D2AA0"/>
    <w:rsid w:val="005D4F37"/>
    <w:rsid w:val="005D69C4"/>
    <w:rsid w:val="005E6022"/>
    <w:rsid w:val="005E69D9"/>
    <w:rsid w:val="005F0724"/>
    <w:rsid w:val="005F4EFE"/>
    <w:rsid w:val="005F648B"/>
    <w:rsid w:val="005F6A89"/>
    <w:rsid w:val="005F79D7"/>
    <w:rsid w:val="00603A53"/>
    <w:rsid w:val="006152F6"/>
    <w:rsid w:val="00624515"/>
    <w:rsid w:val="006273B1"/>
    <w:rsid w:val="006276D4"/>
    <w:rsid w:val="006277E2"/>
    <w:rsid w:val="00630858"/>
    <w:rsid w:val="00630F01"/>
    <w:rsid w:val="00642F55"/>
    <w:rsid w:val="006452EF"/>
    <w:rsid w:val="00654CFB"/>
    <w:rsid w:val="00655FD5"/>
    <w:rsid w:val="0066120D"/>
    <w:rsid w:val="0067218E"/>
    <w:rsid w:val="006837D0"/>
    <w:rsid w:val="006921BF"/>
    <w:rsid w:val="006A0B31"/>
    <w:rsid w:val="006A0C22"/>
    <w:rsid w:val="006B0FCC"/>
    <w:rsid w:val="006B319F"/>
    <w:rsid w:val="006B61F7"/>
    <w:rsid w:val="006C12B0"/>
    <w:rsid w:val="006C398F"/>
    <w:rsid w:val="006C5C0C"/>
    <w:rsid w:val="006C6F26"/>
    <w:rsid w:val="006D3EF3"/>
    <w:rsid w:val="006D5003"/>
    <w:rsid w:val="006D7823"/>
    <w:rsid w:val="006E0C0A"/>
    <w:rsid w:val="006E4A4C"/>
    <w:rsid w:val="006E53AF"/>
    <w:rsid w:val="006F6244"/>
    <w:rsid w:val="006F7D19"/>
    <w:rsid w:val="00701BB1"/>
    <w:rsid w:val="00702653"/>
    <w:rsid w:val="0070557E"/>
    <w:rsid w:val="00706C0E"/>
    <w:rsid w:val="00714194"/>
    <w:rsid w:val="00717AA0"/>
    <w:rsid w:val="007204CB"/>
    <w:rsid w:val="0072240F"/>
    <w:rsid w:val="00723219"/>
    <w:rsid w:val="00723B92"/>
    <w:rsid w:val="00725FD2"/>
    <w:rsid w:val="00726A52"/>
    <w:rsid w:val="00727B37"/>
    <w:rsid w:val="00736BDF"/>
    <w:rsid w:val="00736FAA"/>
    <w:rsid w:val="00744636"/>
    <w:rsid w:val="00744BFB"/>
    <w:rsid w:val="00752404"/>
    <w:rsid w:val="007621A2"/>
    <w:rsid w:val="007650E9"/>
    <w:rsid w:val="0077197C"/>
    <w:rsid w:val="00771FA9"/>
    <w:rsid w:val="00774D95"/>
    <w:rsid w:val="00782C61"/>
    <w:rsid w:val="00787B6C"/>
    <w:rsid w:val="00791EEA"/>
    <w:rsid w:val="00793E62"/>
    <w:rsid w:val="007A6D64"/>
    <w:rsid w:val="007B50C2"/>
    <w:rsid w:val="007B66E7"/>
    <w:rsid w:val="007B6AAD"/>
    <w:rsid w:val="007C62B2"/>
    <w:rsid w:val="007C7F20"/>
    <w:rsid w:val="007D2029"/>
    <w:rsid w:val="007D7296"/>
    <w:rsid w:val="007D7E47"/>
    <w:rsid w:val="007E1752"/>
    <w:rsid w:val="007E2998"/>
    <w:rsid w:val="007E31CD"/>
    <w:rsid w:val="007E3BBF"/>
    <w:rsid w:val="007E770D"/>
    <w:rsid w:val="0080220C"/>
    <w:rsid w:val="008030F3"/>
    <w:rsid w:val="00803B3E"/>
    <w:rsid w:val="0080767D"/>
    <w:rsid w:val="00810E9E"/>
    <w:rsid w:val="00812334"/>
    <w:rsid w:val="008174AD"/>
    <w:rsid w:val="00822671"/>
    <w:rsid w:val="00825F47"/>
    <w:rsid w:val="00830594"/>
    <w:rsid w:val="00831497"/>
    <w:rsid w:val="008405A4"/>
    <w:rsid w:val="0084248E"/>
    <w:rsid w:val="00846634"/>
    <w:rsid w:val="00847D93"/>
    <w:rsid w:val="00850E12"/>
    <w:rsid w:val="00854ABE"/>
    <w:rsid w:val="00855E59"/>
    <w:rsid w:val="00861118"/>
    <w:rsid w:val="008636D1"/>
    <w:rsid w:val="008645B0"/>
    <w:rsid w:val="00866DDA"/>
    <w:rsid w:val="00872D5E"/>
    <w:rsid w:val="00873F25"/>
    <w:rsid w:val="008744E5"/>
    <w:rsid w:val="008764E0"/>
    <w:rsid w:val="0088235A"/>
    <w:rsid w:val="00887526"/>
    <w:rsid w:val="00890A11"/>
    <w:rsid w:val="00890DA6"/>
    <w:rsid w:val="00892C28"/>
    <w:rsid w:val="00894F57"/>
    <w:rsid w:val="008A6223"/>
    <w:rsid w:val="008B09F3"/>
    <w:rsid w:val="008B0F52"/>
    <w:rsid w:val="008B173C"/>
    <w:rsid w:val="008B75E8"/>
    <w:rsid w:val="008C18EB"/>
    <w:rsid w:val="008C3667"/>
    <w:rsid w:val="008C5D29"/>
    <w:rsid w:val="008C7833"/>
    <w:rsid w:val="008D17E8"/>
    <w:rsid w:val="008D4372"/>
    <w:rsid w:val="008D7837"/>
    <w:rsid w:val="008E4E8C"/>
    <w:rsid w:val="008F5D4E"/>
    <w:rsid w:val="0090723F"/>
    <w:rsid w:val="0091023B"/>
    <w:rsid w:val="009123B2"/>
    <w:rsid w:val="009124EB"/>
    <w:rsid w:val="00917627"/>
    <w:rsid w:val="00942696"/>
    <w:rsid w:val="00951C13"/>
    <w:rsid w:val="00951F88"/>
    <w:rsid w:val="009538F8"/>
    <w:rsid w:val="00955DF9"/>
    <w:rsid w:val="0095643A"/>
    <w:rsid w:val="0095652E"/>
    <w:rsid w:val="0095785A"/>
    <w:rsid w:val="00962213"/>
    <w:rsid w:val="009702DB"/>
    <w:rsid w:val="00973DA8"/>
    <w:rsid w:val="0097489B"/>
    <w:rsid w:val="0097553F"/>
    <w:rsid w:val="00977135"/>
    <w:rsid w:val="009838E2"/>
    <w:rsid w:val="00986819"/>
    <w:rsid w:val="009A00F4"/>
    <w:rsid w:val="009A06F4"/>
    <w:rsid w:val="009A0E4E"/>
    <w:rsid w:val="009A7AE8"/>
    <w:rsid w:val="009B498F"/>
    <w:rsid w:val="009C0E52"/>
    <w:rsid w:val="009C1E1A"/>
    <w:rsid w:val="009C2389"/>
    <w:rsid w:val="009C681D"/>
    <w:rsid w:val="009D0BCB"/>
    <w:rsid w:val="009D0E6B"/>
    <w:rsid w:val="009D222A"/>
    <w:rsid w:val="009D25AF"/>
    <w:rsid w:val="009D2973"/>
    <w:rsid w:val="009D59B1"/>
    <w:rsid w:val="009D6079"/>
    <w:rsid w:val="009E0B37"/>
    <w:rsid w:val="009E0C13"/>
    <w:rsid w:val="009E39BE"/>
    <w:rsid w:val="009E4C6C"/>
    <w:rsid w:val="009E5DBA"/>
    <w:rsid w:val="009F548C"/>
    <w:rsid w:val="009F5BFE"/>
    <w:rsid w:val="00A01B9F"/>
    <w:rsid w:val="00A04BF2"/>
    <w:rsid w:val="00A052C3"/>
    <w:rsid w:val="00A05C1E"/>
    <w:rsid w:val="00A12638"/>
    <w:rsid w:val="00A23D7C"/>
    <w:rsid w:val="00A3339B"/>
    <w:rsid w:val="00A3632B"/>
    <w:rsid w:val="00A40E9B"/>
    <w:rsid w:val="00A40FB9"/>
    <w:rsid w:val="00A54222"/>
    <w:rsid w:val="00A570C6"/>
    <w:rsid w:val="00A6411A"/>
    <w:rsid w:val="00A64F32"/>
    <w:rsid w:val="00A67EC6"/>
    <w:rsid w:val="00A845EC"/>
    <w:rsid w:val="00A94F74"/>
    <w:rsid w:val="00A96027"/>
    <w:rsid w:val="00AA0204"/>
    <w:rsid w:val="00AB0228"/>
    <w:rsid w:val="00AB0E09"/>
    <w:rsid w:val="00AB3BA5"/>
    <w:rsid w:val="00AC6348"/>
    <w:rsid w:val="00AD3745"/>
    <w:rsid w:val="00AD3FB6"/>
    <w:rsid w:val="00AD6C60"/>
    <w:rsid w:val="00AD7307"/>
    <w:rsid w:val="00AE1903"/>
    <w:rsid w:val="00AE310D"/>
    <w:rsid w:val="00AE4AF4"/>
    <w:rsid w:val="00AF2361"/>
    <w:rsid w:val="00AF6865"/>
    <w:rsid w:val="00B03450"/>
    <w:rsid w:val="00B037D8"/>
    <w:rsid w:val="00B04DE8"/>
    <w:rsid w:val="00B11FDE"/>
    <w:rsid w:val="00B1427D"/>
    <w:rsid w:val="00B3203F"/>
    <w:rsid w:val="00B32733"/>
    <w:rsid w:val="00B35CFD"/>
    <w:rsid w:val="00B44B47"/>
    <w:rsid w:val="00B500F7"/>
    <w:rsid w:val="00B50A51"/>
    <w:rsid w:val="00B54DF6"/>
    <w:rsid w:val="00B662AF"/>
    <w:rsid w:val="00B671B2"/>
    <w:rsid w:val="00B67DD7"/>
    <w:rsid w:val="00B70D97"/>
    <w:rsid w:val="00B720AF"/>
    <w:rsid w:val="00B75F60"/>
    <w:rsid w:val="00B77AB6"/>
    <w:rsid w:val="00B816DE"/>
    <w:rsid w:val="00B81BF9"/>
    <w:rsid w:val="00B909E5"/>
    <w:rsid w:val="00B9661F"/>
    <w:rsid w:val="00B96F7D"/>
    <w:rsid w:val="00BA5017"/>
    <w:rsid w:val="00BA76CA"/>
    <w:rsid w:val="00BA7762"/>
    <w:rsid w:val="00BA7E53"/>
    <w:rsid w:val="00BB0016"/>
    <w:rsid w:val="00BB40AD"/>
    <w:rsid w:val="00BC411B"/>
    <w:rsid w:val="00BC7CE8"/>
    <w:rsid w:val="00BE5562"/>
    <w:rsid w:val="00BE6B60"/>
    <w:rsid w:val="00BE7DF7"/>
    <w:rsid w:val="00BF02A8"/>
    <w:rsid w:val="00C01792"/>
    <w:rsid w:val="00C10F7D"/>
    <w:rsid w:val="00C17B0D"/>
    <w:rsid w:val="00C234D4"/>
    <w:rsid w:val="00C23AC9"/>
    <w:rsid w:val="00C25FA7"/>
    <w:rsid w:val="00C26D82"/>
    <w:rsid w:val="00C27D62"/>
    <w:rsid w:val="00C304AB"/>
    <w:rsid w:val="00C31E12"/>
    <w:rsid w:val="00C34565"/>
    <w:rsid w:val="00C35264"/>
    <w:rsid w:val="00C44643"/>
    <w:rsid w:val="00C52CBC"/>
    <w:rsid w:val="00C57808"/>
    <w:rsid w:val="00C616EB"/>
    <w:rsid w:val="00C742F5"/>
    <w:rsid w:val="00C74694"/>
    <w:rsid w:val="00C74BD7"/>
    <w:rsid w:val="00C91834"/>
    <w:rsid w:val="00C97F84"/>
    <w:rsid w:val="00CA0FEC"/>
    <w:rsid w:val="00CA1BA3"/>
    <w:rsid w:val="00CA7B6D"/>
    <w:rsid w:val="00CB2414"/>
    <w:rsid w:val="00CB26ED"/>
    <w:rsid w:val="00CB76CF"/>
    <w:rsid w:val="00CC11B6"/>
    <w:rsid w:val="00CC7231"/>
    <w:rsid w:val="00CD75F2"/>
    <w:rsid w:val="00CE5036"/>
    <w:rsid w:val="00CE7E19"/>
    <w:rsid w:val="00CF0458"/>
    <w:rsid w:val="00CF0BE6"/>
    <w:rsid w:val="00CF5447"/>
    <w:rsid w:val="00CF7BE9"/>
    <w:rsid w:val="00D00FF0"/>
    <w:rsid w:val="00D03774"/>
    <w:rsid w:val="00D04F79"/>
    <w:rsid w:val="00D2101F"/>
    <w:rsid w:val="00D21076"/>
    <w:rsid w:val="00D34968"/>
    <w:rsid w:val="00D4028A"/>
    <w:rsid w:val="00D54251"/>
    <w:rsid w:val="00D564C4"/>
    <w:rsid w:val="00D63D52"/>
    <w:rsid w:val="00D64F28"/>
    <w:rsid w:val="00D77A71"/>
    <w:rsid w:val="00D810E1"/>
    <w:rsid w:val="00D85194"/>
    <w:rsid w:val="00D87073"/>
    <w:rsid w:val="00D87B85"/>
    <w:rsid w:val="00D91973"/>
    <w:rsid w:val="00DA00C2"/>
    <w:rsid w:val="00DA46C3"/>
    <w:rsid w:val="00DB29E1"/>
    <w:rsid w:val="00DB3B6B"/>
    <w:rsid w:val="00DB3EC0"/>
    <w:rsid w:val="00DB66A5"/>
    <w:rsid w:val="00DB7837"/>
    <w:rsid w:val="00DC6224"/>
    <w:rsid w:val="00DD3809"/>
    <w:rsid w:val="00DE406D"/>
    <w:rsid w:val="00DE4A31"/>
    <w:rsid w:val="00DF3321"/>
    <w:rsid w:val="00E034A1"/>
    <w:rsid w:val="00E120BA"/>
    <w:rsid w:val="00E12BEB"/>
    <w:rsid w:val="00E13C01"/>
    <w:rsid w:val="00E145B8"/>
    <w:rsid w:val="00E14D30"/>
    <w:rsid w:val="00E1564C"/>
    <w:rsid w:val="00E17A0D"/>
    <w:rsid w:val="00E216F1"/>
    <w:rsid w:val="00E21C8C"/>
    <w:rsid w:val="00E22027"/>
    <w:rsid w:val="00E247EA"/>
    <w:rsid w:val="00E25669"/>
    <w:rsid w:val="00E32417"/>
    <w:rsid w:val="00E336AD"/>
    <w:rsid w:val="00E377B3"/>
    <w:rsid w:val="00E45AF7"/>
    <w:rsid w:val="00E5023F"/>
    <w:rsid w:val="00E579AC"/>
    <w:rsid w:val="00E744CB"/>
    <w:rsid w:val="00E74AAD"/>
    <w:rsid w:val="00E763E7"/>
    <w:rsid w:val="00E84F67"/>
    <w:rsid w:val="00E8558A"/>
    <w:rsid w:val="00E9336C"/>
    <w:rsid w:val="00E9755C"/>
    <w:rsid w:val="00EA53EA"/>
    <w:rsid w:val="00EA57E1"/>
    <w:rsid w:val="00EB463B"/>
    <w:rsid w:val="00EC1327"/>
    <w:rsid w:val="00EC2F2E"/>
    <w:rsid w:val="00EC317F"/>
    <w:rsid w:val="00EC5A4D"/>
    <w:rsid w:val="00EC7311"/>
    <w:rsid w:val="00EC7DAB"/>
    <w:rsid w:val="00ED1430"/>
    <w:rsid w:val="00ED21DF"/>
    <w:rsid w:val="00ED28A3"/>
    <w:rsid w:val="00ED2AF7"/>
    <w:rsid w:val="00ED37CA"/>
    <w:rsid w:val="00EE1C8D"/>
    <w:rsid w:val="00EE27E5"/>
    <w:rsid w:val="00EE329B"/>
    <w:rsid w:val="00EF6078"/>
    <w:rsid w:val="00F07144"/>
    <w:rsid w:val="00F156B7"/>
    <w:rsid w:val="00F251EC"/>
    <w:rsid w:val="00F31502"/>
    <w:rsid w:val="00F343F8"/>
    <w:rsid w:val="00F37196"/>
    <w:rsid w:val="00F437BB"/>
    <w:rsid w:val="00F468EB"/>
    <w:rsid w:val="00F5201A"/>
    <w:rsid w:val="00F56B8B"/>
    <w:rsid w:val="00F577FE"/>
    <w:rsid w:val="00F61547"/>
    <w:rsid w:val="00F61D7F"/>
    <w:rsid w:val="00F642D8"/>
    <w:rsid w:val="00F64BEE"/>
    <w:rsid w:val="00F727DA"/>
    <w:rsid w:val="00F8113A"/>
    <w:rsid w:val="00F873AB"/>
    <w:rsid w:val="00F93448"/>
    <w:rsid w:val="00F93C03"/>
    <w:rsid w:val="00F95F33"/>
    <w:rsid w:val="00FA0998"/>
    <w:rsid w:val="00FA1004"/>
    <w:rsid w:val="00FB5422"/>
    <w:rsid w:val="00FB616F"/>
    <w:rsid w:val="00FB72ED"/>
    <w:rsid w:val="00FC7D5A"/>
    <w:rsid w:val="00FD0A45"/>
    <w:rsid w:val="00FE07DC"/>
    <w:rsid w:val="00FE266B"/>
    <w:rsid w:val="00FE30D6"/>
    <w:rsid w:val="00FE6B72"/>
    <w:rsid w:val="00FF211D"/>
    <w:rsid w:val="00FF2B1C"/>
    <w:rsid w:val="00FF4E1D"/>
    <w:rsid w:val="00FF5416"/>
    <w:rsid w:val="00FF5D40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F9B7C3"/>
  <w14:defaultImageDpi w14:val="330"/>
  <w15:docId w15:val="{AFCA6C67-436C-416B-8C9E-7E4F1D03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2004"/>
    <w:rPr>
      <w:rFonts w:ascii="Arial" w:eastAsia="Times New Roman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1F2004"/>
  </w:style>
  <w:style w:type="paragraph" w:styleId="Encabezado">
    <w:name w:val="header"/>
    <w:basedOn w:val="Normal"/>
    <w:link w:val="EncabezadoCar"/>
    <w:rsid w:val="001F2004"/>
    <w:pPr>
      <w:tabs>
        <w:tab w:val="center" w:pos="4320"/>
        <w:tab w:val="right" w:pos="8640"/>
      </w:tabs>
      <w:jc w:val="both"/>
    </w:pPr>
    <w:rPr>
      <w:sz w:val="20"/>
      <w:szCs w:val="20"/>
      <w:lang w:val="es-ES_tradnl"/>
    </w:rPr>
  </w:style>
  <w:style w:type="character" w:customStyle="1" w:styleId="EncabezadoCar">
    <w:name w:val="Encabezado Car"/>
    <w:link w:val="Encabezado"/>
    <w:rsid w:val="001F2004"/>
    <w:rPr>
      <w:rFonts w:ascii="Arial" w:eastAsia="Times New Roman" w:hAnsi="Arial" w:cs="Times New Roman"/>
      <w:sz w:val="20"/>
      <w:szCs w:val="20"/>
    </w:rPr>
  </w:style>
  <w:style w:type="paragraph" w:styleId="Piedepgina">
    <w:name w:val="footer"/>
    <w:basedOn w:val="Normal"/>
    <w:link w:val="PiedepginaCar"/>
    <w:rsid w:val="001F2004"/>
    <w:pPr>
      <w:tabs>
        <w:tab w:val="center" w:pos="4320"/>
        <w:tab w:val="right" w:pos="8640"/>
      </w:tabs>
      <w:jc w:val="both"/>
    </w:pPr>
    <w:rPr>
      <w:sz w:val="20"/>
      <w:szCs w:val="20"/>
      <w:lang w:val="es-ES_tradnl"/>
    </w:rPr>
  </w:style>
  <w:style w:type="character" w:customStyle="1" w:styleId="PiedepginaCar">
    <w:name w:val="Pie de página Car"/>
    <w:link w:val="Piedepgina"/>
    <w:rsid w:val="001F2004"/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rsid w:val="001F2004"/>
    <w:pPr>
      <w:spacing w:before="100" w:beforeAutospacing="1" w:after="100" w:afterAutospacing="1"/>
    </w:pPr>
    <w:rPr>
      <w:rFonts w:ascii="Arial Unicode MS" w:eastAsia="Arial Unicode MS" w:hAnsi="Arial Unicode MS" w:cs="Astaire"/>
    </w:rPr>
  </w:style>
  <w:style w:type="paragraph" w:customStyle="1" w:styleId="Textoindependiente21">
    <w:name w:val="Texto independiente 21"/>
    <w:basedOn w:val="Normal"/>
    <w:rsid w:val="001F2004"/>
    <w:pPr>
      <w:suppressAutoHyphens/>
      <w:jc w:val="center"/>
    </w:pPr>
    <w:rPr>
      <w:spacing w:val="-3"/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1F200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20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F2004"/>
    <w:rPr>
      <w:rFonts w:ascii="Tahoma" w:eastAsia="Times New Roman" w:hAnsi="Tahoma" w:cs="Tahoma"/>
      <w:sz w:val="16"/>
      <w:szCs w:val="16"/>
      <w:lang w:val="es-ES"/>
    </w:rPr>
  </w:style>
  <w:style w:type="paragraph" w:customStyle="1" w:styleId="Default">
    <w:name w:val="Default"/>
    <w:rsid w:val="001F2004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val="es-CO" w:eastAsia="en-US"/>
    </w:rPr>
  </w:style>
  <w:style w:type="table" w:styleId="Tablaconcuadrcula">
    <w:name w:val="Table Grid"/>
    <w:basedOn w:val="Tablanormal"/>
    <w:uiPriority w:val="39"/>
    <w:rsid w:val="001F200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nhideWhenUsed/>
    <w:rsid w:val="001F2004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1F2004"/>
    <w:rPr>
      <w:rFonts w:eastAsia="Arial" w:cs="Arial"/>
      <w:color w:val="000000"/>
      <w:lang w:val="es-CO" w:eastAsia="es-CO"/>
    </w:rPr>
  </w:style>
  <w:style w:type="character" w:customStyle="1" w:styleId="TextocomentarioCar">
    <w:name w:val="Texto comentario Car"/>
    <w:link w:val="Textocomentario"/>
    <w:uiPriority w:val="99"/>
    <w:rsid w:val="001F2004"/>
    <w:rPr>
      <w:rFonts w:ascii="Arial" w:eastAsia="Arial" w:hAnsi="Arial" w:cs="Arial"/>
      <w:color w:val="000000"/>
      <w:lang w:val="es-CO" w:eastAsia="es-CO"/>
    </w:rPr>
  </w:style>
  <w:style w:type="character" w:customStyle="1" w:styleId="PrrafodelistaCar">
    <w:name w:val="Párrafo de lista Car"/>
    <w:link w:val="Prrafodelista"/>
    <w:uiPriority w:val="72"/>
    <w:locked/>
    <w:rsid w:val="001F2004"/>
    <w:rPr>
      <w:rFonts w:ascii="Arial" w:eastAsia="Times New Roman" w:hAnsi="Arial" w:cs="Times New Roman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2004"/>
    <w:rPr>
      <w:rFonts w:eastAsia="Times New Roman" w:cs="Times New Roman"/>
      <w:b/>
      <w:bCs/>
      <w:color w:val="auto"/>
      <w:sz w:val="20"/>
      <w:szCs w:val="20"/>
      <w:lang w:val="es-ES" w:eastAsia="es-ES"/>
    </w:rPr>
  </w:style>
  <w:style w:type="character" w:customStyle="1" w:styleId="AsuntodelcomentarioCar">
    <w:name w:val="Asunto del comentario Car"/>
    <w:link w:val="Asuntodelcomentario"/>
    <w:uiPriority w:val="99"/>
    <w:semiHidden/>
    <w:rsid w:val="001F2004"/>
    <w:rPr>
      <w:rFonts w:ascii="Arial" w:eastAsia="Times New Roman" w:hAnsi="Arial" w:cs="Times New Roman"/>
      <w:b/>
      <w:bCs/>
      <w:color w:val="000000"/>
      <w:sz w:val="20"/>
      <w:szCs w:val="20"/>
      <w:lang w:val="es-ES"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F2004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1F2004"/>
    <w:rPr>
      <w:rFonts w:ascii="Arial" w:eastAsia="Times New Roman" w:hAnsi="Arial" w:cs="Times New Roman"/>
      <w:sz w:val="20"/>
      <w:szCs w:val="20"/>
      <w:lang w:val="es-ES"/>
    </w:rPr>
  </w:style>
  <w:style w:type="character" w:styleId="Refdenotaalpie">
    <w:name w:val="footnote reference"/>
    <w:uiPriority w:val="99"/>
    <w:semiHidden/>
    <w:unhideWhenUsed/>
    <w:rsid w:val="001F2004"/>
    <w:rPr>
      <w:vertAlign w:val="superscript"/>
    </w:rPr>
  </w:style>
  <w:style w:type="paragraph" w:styleId="Revisin">
    <w:name w:val="Revision"/>
    <w:hidden/>
    <w:uiPriority w:val="99"/>
    <w:semiHidden/>
    <w:rsid w:val="001F2004"/>
    <w:rPr>
      <w:rFonts w:ascii="Arial" w:eastAsia="Times New Roman" w:hAnsi="Arial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255099"/>
    <w:rPr>
      <w:rFonts w:eastAsia="MS Mincho"/>
      <w:color w:val="auto"/>
      <w:lang w:eastAsia="es-ES"/>
    </w:rPr>
  </w:style>
  <w:style w:type="paragraph" w:customStyle="1" w:styleId="CM6">
    <w:name w:val="CM6"/>
    <w:basedOn w:val="Default"/>
    <w:next w:val="Default"/>
    <w:uiPriority w:val="99"/>
    <w:rsid w:val="00255099"/>
    <w:pPr>
      <w:spacing w:line="278" w:lineRule="atLeast"/>
    </w:pPr>
    <w:rPr>
      <w:rFonts w:eastAsia="MS Mincho"/>
      <w:color w:val="auto"/>
      <w:lang w:eastAsia="es-ES"/>
    </w:rPr>
  </w:style>
  <w:style w:type="paragraph" w:customStyle="1" w:styleId="Sinespaciado1">
    <w:name w:val="Sin espaciado1"/>
    <w:qFormat/>
    <w:rsid w:val="00F56B8B"/>
    <w:rPr>
      <w:rFonts w:ascii="Calibri" w:eastAsia="Times New Roman" w:hAnsi="Calibri" w:cs="Calibri"/>
      <w:sz w:val="22"/>
      <w:szCs w:val="22"/>
      <w:lang w:val="es-CO" w:eastAsia="en-US"/>
    </w:rPr>
  </w:style>
  <w:style w:type="character" w:styleId="Hipervnculo">
    <w:name w:val="Hyperlink"/>
    <w:uiPriority w:val="99"/>
    <w:unhideWhenUsed/>
    <w:rsid w:val="00873F25"/>
    <w:rPr>
      <w:color w:val="0000FF"/>
      <w:u w:val="single"/>
    </w:rPr>
  </w:style>
  <w:style w:type="character" w:customStyle="1" w:styleId="baj">
    <w:name w:val="b_aj"/>
    <w:basedOn w:val="Fuentedeprrafopredeter"/>
    <w:rsid w:val="007E31CD"/>
  </w:style>
  <w:style w:type="character" w:customStyle="1" w:styleId="apple-converted-space">
    <w:name w:val="apple-converted-space"/>
    <w:basedOn w:val="Fuentedeprrafopredeter"/>
    <w:rsid w:val="007E3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8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5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ECC0FA-1BF8-4FB5-84D9-91C6C87C7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1144</Words>
  <Characters>6296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Alfonso Viasus Pineda</dc:creator>
  <cp:keywords/>
  <cp:lastModifiedBy>Juan Carlos Gonzalez Orozco</cp:lastModifiedBy>
  <cp:revision>3</cp:revision>
  <cp:lastPrinted>2018-03-01T23:56:00Z</cp:lastPrinted>
  <dcterms:created xsi:type="dcterms:W3CDTF">2018-03-08T19:12:00Z</dcterms:created>
  <dcterms:modified xsi:type="dcterms:W3CDTF">2018-03-26T16:34:00Z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