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79953" w14:textId="77777777" w:rsidR="00E50B1A" w:rsidRPr="00517CF6" w:rsidRDefault="00E322EE" w:rsidP="00517CF6">
      <w:pPr>
        <w:jc w:val="center"/>
        <w:rPr>
          <w:rFonts w:cs="Arial"/>
          <w:b/>
          <w:sz w:val="23"/>
          <w:szCs w:val="23"/>
        </w:rPr>
      </w:pPr>
      <w:r w:rsidRPr="00517CF6">
        <w:rPr>
          <w:rFonts w:cs="Arial"/>
          <w:sz w:val="23"/>
          <w:szCs w:val="23"/>
        </w:rPr>
        <w:t>&lt;&lt;</w:t>
      </w:r>
      <w:r w:rsidR="00ED194B" w:rsidRPr="00517CF6">
        <w:rPr>
          <w:rFonts w:cs="Arial"/>
          <w:sz w:val="23"/>
          <w:szCs w:val="23"/>
        </w:rPr>
        <w:t xml:space="preserve">Por la cual se </w:t>
      </w:r>
      <w:r w:rsidR="00102895" w:rsidRPr="00517CF6">
        <w:rPr>
          <w:rFonts w:cs="Arial"/>
          <w:sz w:val="23"/>
          <w:szCs w:val="23"/>
        </w:rPr>
        <w:t xml:space="preserve">reglamenta </w:t>
      </w:r>
      <w:r w:rsidR="00017A8C" w:rsidRPr="00517CF6">
        <w:rPr>
          <w:rFonts w:cs="Arial"/>
          <w:sz w:val="23"/>
          <w:szCs w:val="23"/>
        </w:rPr>
        <w:t>el</w:t>
      </w:r>
      <w:r w:rsidR="00102895" w:rsidRPr="00517CF6">
        <w:rPr>
          <w:rFonts w:cs="Arial"/>
          <w:sz w:val="23"/>
          <w:szCs w:val="23"/>
        </w:rPr>
        <w:t xml:space="preserve"> plazo para la publicación de proyectos específicos de regulación que expida el Ministerio de Educación Nacional</w:t>
      </w:r>
      <w:r w:rsidRPr="00517CF6">
        <w:rPr>
          <w:rFonts w:cs="Arial"/>
          <w:sz w:val="23"/>
          <w:szCs w:val="23"/>
        </w:rPr>
        <w:t>&gt;&gt;</w:t>
      </w:r>
    </w:p>
    <w:p w14:paraId="7981C211" w14:textId="77777777" w:rsidR="00455DBE" w:rsidRPr="00517CF6" w:rsidRDefault="00455DBE" w:rsidP="00517CF6">
      <w:pPr>
        <w:jc w:val="center"/>
        <w:rPr>
          <w:rFonts w:cs="Arial"/>
          <w:b/>
          <w:sz w:val="23"/>
          <w:szCs w:val="23"/>
        </w:rPr>
      </w:pPr>
    </w:p>
    <w:p w14:paraId="071F815A" w14:textId="77777777" w:rsidR="00032E5B" w:rsidRPr="00517CF6" w:rsidRDefault="00032E5B" w:rsidP="00517CF6">
      <w:pPr>
        <w:jc w:val="center"/>
        <w:rPr>
          <w:rFonts w:cs="Arial"/>
          <w:b/>
          <w:sz w:val="23"/>
          <w:szCs w:val="23"/>
        </w:rPr>
      </w:pPr>
    </w:p>
    <w:p w14:paraId="252CC059" w14:textId="77777777" w:rsidR="00132D4B" w:rsidRPr="00517CF6" w:rsidRDefault="00E322EE" w:rsidP="00517CF6">
      <w:pPr>
        <w:jc w:val="center"/>
        <w:rPr>
          <w:rFonts w:cs="Arial"/>
          <w:sz w:val="23"/>
          <w:szCs w:val="23"/>
        </w:rPr>
      </w:pPr>
      <w:r w:rsidRPr="00517CF6">
        <w:rPr>
          <w:rFonts w:cs="Arial"/>
          <w:b/>
          <w:sz w:val="23"/>
          <w:szCs w:val="23"/>
        </w:rPr>
        <w:t>LA MINISTRA DE EDUCACIÓN NACIONAL</w:t>
      </w:r>
    </w:p>
    <w:p w14:paraId="4F5D67E2" w14:textId="77777777" w:rsidR="00132D4B" w:rsidRPr="00517CF6" w:rsidRDefault="00132D4B" w:rsidP="00517CF6">
      <w:pPr>
        <w:jc w:val="both"/>
        <w:rPr>
          <w:rFonts w:cs="Arial"/>
          <w:sz w:val="23"/>
          <w:szCs w:val="23"/>
        </w:rPr>
      </w:pPr>
    </w:p>
    <w:p w14:paraId="444EE8A3" w14:textId="75E6B529" w:rsidR="00455DBE" w:rsidRPr="00517CF6" w:rsidRDefault="00E322EE" w:rsidP="00517CF6">
      <w:pPr>
        <w:jc w:val="center"/>
        <w:rPr>
          <w:rFonts w:cs="Arial"/>
          <w:sz w:val="23"/>
          <w:szCs w:val="23"/>
        </w:rPr>
      </w:pPr>
      <w:r w:rsidRPr="00517CF6">
        <w:rPr>
          <w:rFonts w:cs="Arial"/>
          <w:sz w:val="23"/>
          <w:szCs w:val="23"/>
        </w:rPr>
        <w:t>E</w:t>
      </w:r>
      <w:r w:rsidR="00455DBE" w:rsidRPr="00517CF6">
        <w:rPr>
          <w:rFonts w:cs="Arial"/>
          <w:sz w:val="23"/>
          <w:szCs w:val="23"/>
        </w:rPr>
        <w:t>n ejercicio de sus facultades legales</w:t>
      </w:r>
      <w:r w:rsidR="00490245" w:rsidRPr="00517CF6">
        <w:rPr>
          <w:rFonts w:cs="Arial"/>
          <w:sz w:val="23"/>
          <w:szCs w:val="23"/>
        </w:rPr>
        <w:t xml:space="preserve">, en especial las conferidas por </w:t>
      </w:r>
      <w:r w:rsidR="0008088F" w:rsidRPr="00517CF6">
        <w:rPr>
          <w:rFonts w:cs="Arial"/>
          <w:sz w:val="23"/>
          <w:szCs w:val="23"/>
        </w:rPr>
        <w:t>el</w:t>
      </w:r>
      <w:r w:rsidR="00490245" w:rsidRPr="00517CF6">
        <w:rPr>
          <w:rFonts w:cs="Arial"/>
          <w:sz w:val="23"/>
          <w:szCs w:val="23"/>
        </w:rPr>
        <w:t xml:space="preserve"> </w:t>
      </w:r>
      <w:r w:rsidR="004B30C9" w:rsidRPr="00517CF6">
        <w:rPr>
          <w:rFonts w:cs="Arial"/>
          <w:sz w:val="23"/>
          <w:szCs w:val="23"/>
        </w:rPr>
        <w:t xml:space="preserve">parágrafo del artículo 2.1.2.1.23 del </w:t>
      </w:r>
      <w:r w:rsidR="00102895" w:rsidRPr="00517CF6">
        <w:rPr>
          <w:rFonts w:cs="Arial"/>
          <w:sz w:val="23"/>
          <w:szCs w:val="23"/>
        </w:rPr>
        <w:t xml:space="preserve">Decreto </w:t>
      </w:r>
      <w:r w:rsidR="004B30C9" w:rsidRPr="00517CF6">
        <w:rPr>
          <w:rFonts w:cs="Arial"/>
          <w:sz w:val="23"/>
          <w:szCs w:val="23"/>
        </w:rPr>
        <w:t>1081</w:t>
      </w:r>
      <w:r w:rsidR="00102895" w:rsidRPr="00517CF6">
        <w:rPr>
          <w:rFonts w:cs="Arial"/>
          <w:sz w:val="23"/>
          <w:szCs w:val="23"/>
        </w:rPr>
        <w:t xml:space="preserve"> de 201</w:t>
      </w:r>
      <w:r w:rsidR="004B30C9" w:rsidRPr="00517CF6">
        <w:rPr>
          <w:rFonts w:cs="Arial"/>
          <w:sz w:val="23"/>
          <w:szCs w:val="23"/>
        </w:rPr>
        <w:t>5</w:t>
      </w:r>
      <w:r w:rsidR="00102895" w:rsidRPr="00517CF6">
        <w:rPr>
          <w:rFonts w:cs="Arial"/>
          <w:sz w:val="23"/>
          <w:szCs w:val="23"/>
        </w:rPr>
        <w:t>, y</w:t>
      </w:r>
    </w:p>
    <w:p w14:paraId="25411172" w14:textId="77777777" w:rsidR="00032E5B" w:rsidRPr="00517CF6" w:rsidRDefault="00032E5B" w:rsidP="00517CF6">
      <w:pPr>
        <w:rPr>
          <w:rFonts w:cs="Arial"/>
          <w:b/>
          <w:sz w:val="23"/>
          <w:szCs w:val="23"/>
        </w:rPr>
      </w:pPr>
    </w:p>
    <w:p w14:paraId="79CD6FDC" w14:textId="77777777" w:rsidR="00C53938" w:rsidRPr="00517CF6" w:rsidRDefault="00C53938" w:rsidP="00517CF6">
      <w:pPr>
        <w:rPr>
          <w:rFonts w:cs="Arial"/>
          <w:b/>
          <w:sz w:val="23"/>
          <w:szCs w:val="23"/>
        </w:rPr>
      </w:pPr>
    </w:p>
    <w:p w14:paraId="59494C2C" w14:textId="2EC0E8CC" w:rsidR="009B14CF" w:rsidRPr="00517CF6" w:rsidRDefault="009B14CF" w:rsidP="00517CF6">
      <w:pPr>
        <w:jc w:val="center"/>
        <w:rPr>
          <w:rFonts w:cs="Arial"/>
          <w:b/>
          <w:sz w:val="23"/>
          <w:szCs w:val="23"/>
        </w:rPr>
      </w:pPr>
      <w:r w:rsidRPr="00517CF6">
        <w:rPr>
          <w:rFonts w:cs="Arial"/>
          <w:b/>
          <w:sz w:val="23"/>
          <w:szCs w:val="23"/>
        </w:rPr>
        <w:t>CONSIDERANDO</w:t>
      </w:r>
    </w:p>
    <w:p w14:paraId="6BFC1A8F" w14:textId="77777777" w:rsidR="00C53938" w:rsidRPr="00517CF6" w:rsidRDefault="00C53938" w:rsidP="00517CF6">
      <w:pPr>
        <w:rPr>
          <w:rFonts w:cs="Arial"/>
          <w:b/>
          <w:sz w:val="23"/>
          <w:szCs w:val="23"/>
        </w:rPr>
      </w:pPr>
    </w:p>
    <w:p w14:paraId="73E88C07" w14:textId="39AF9A2C" w:rsidR="00132D4B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el artículo 2 de la Constitución Política señala como uno de los fines esenciales del Estado facilitar la participación de todos en las decisiones que los afectan.</w:t>
      </w:r>
    </w:p>
    <w:p w14:paraId="2862AB8E" w14:textId="77777777" w:rsidR="00132D4B" w:rsidRPr="00517CF6" w:rsidRDefault="00132D4B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468EDDF1" w14:textId="41EB9626" w:rsidR="00132D4B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el artículo 209 de la Constitución Política señala que la función administrativa está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al servicio de los intereses generales y se desarrolla con fundamento en los principios de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igualdad, moralidad, eficacia, economía, celeridad, imparcialidad y publicidad. </w:t>
      </w:r>
    </w:p>
    <w:p w14:paraId="71E53213" w14:textId="77777777" w:rsidR="00132D4B" w:rsidRPr="00517CF6" w:rsidRDefault="00132D4B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4DBC14F7" w14:textId="73772A3A" w:rsidR="00132D4B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el artículo 3 de la Ley 489 de 1998 dispone que la función administrativa se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desarrollará conforme a los principios constitucionales, en particular, a los atinentes a la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participación, publicidad y transparencia</w:t>
      </w:r>
      <w:r w:rsidR="004B30C9" w:rsidRPr="00517CF6">
        <w:rPr>
          <w:rFonts w:cs="Arial"/>
          <w:color w:val="000000"/>
          <w:sz w:val="23"/>
          <w:szCs w:val="23"/>
          <w:lang w:val="es-CO" w:eastAsia="es-CO"/>
        </w:rPr>
        <w:t>.</w:t>
      </w:r>
    </w:p>
    <w:p w14:paraId="437D32E1" w14:textId="77777777" w:rsidR="00132D4B" w:rsidRPr="00517CF6" w:rsidRDefault="00132D4B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0C47F7A1" w14:textId="57B2C3F4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Que los organismos, entidades y personas encargadas de manera permanente o transitoria de funciones administrativas, de acuerdo con lo dispuesto en el inciso </w:t>
      </w:r>
      <w:r w:rsidR="00160233" w:rsidRPr="00517CF6">
        <w:rPr>
          <w:rFonts w:cs="Arial"/>
          <w:color w:val="000000"/>
          <w:sz w:val="23"/>
          <w:szCs w:val="23"/>
          <w:lang w:val="es-CO" w:eastAsia="es-CO"/>
        </w:rPr>
        <w:t xml:space="preserve">2º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del artículo 4 de la Ley 489 de 1998, deben ejercerlas consultando el interés general. </w:t>
      </w:r>
    </w:p>
    <w:p w14:paraId="3515B1D6" w14:textId="77777777" w:rsidR="00132D4B" w:rsidRPr="00517CF6" w:rsidRDefault="00132D4B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7DD1AA9F" w14:textId="15393BB8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el artículo 32 de la Ley 489 de 1998, modificado por el artículo 78 de la Ley 1474 de</w:t>
      </w:r>
      <w:r w:rsid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2011, hace referencia a la obligación de las entidades y organismos de la Administración</w:t>
      </w:r>
      <w:r w:rsid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Pública de desarrollar la gestión administrativa de acuerdo con los principios de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democracia participativa y democratización de la gestión pública, con el objeto de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involucrar a los ciudadanos y organizaciones de la sociedad civil en la formulación,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ejecución, control y evaluación de dicha gestión.</w:t>
      </w:r>
    </w:p>
    <w:p w14:paraId="6F8BA326" w14:textId="77777777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5AFEDFB7" w14:textId="3013F38B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en cuanto a las actuaciones administrativas, el artículo 3 de la Ley 1437 de 2011 dispone la debida sujeción a los principios del debido proceso, igualdad, imparcialidad, buena fe, moralidad, participación, responsabilidad, transparencia, publicidad, coordinación, eficacia, economía y celeridad. </w:t>
      </w:r>
    </w:p>
    <w:p w14:paraId="7ED95382" w14:textId="77777777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72658EDF" w14:textId="764B16C0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en virtud del principio de participación que rigen las actuaciones administrativas de que trata el numeral 6</w:t>
      </w:r>
      <w:r w:rsidR="00160233" w:rsidRPr="00517CF6">
        <w:rPr>
          <w:rFonts w:cs="Arial"/>
          <w:color w:val="000000"/>
          <w:sz w:val="23"/>
          <w:szCs w:val="23"/>
          <w:lang w:val="es-CO" w:eastAsia="es-CO"/>
        </w:rPr>
        <w:t>º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 del citado artículo 3 de la Ley 1437 de 2011, </w:t>
      </w:r>
      <w:r w:rsidR="00160233" w:rsidRPr="00517CF6">
        <w:rPr>
          <w:rFonts w:cs="Arial"/>
          <w:i/>
          <w:iCs/>
          <w:color w:val="000000"/>
          <w:sz w:val="23"/>
          <w:szCs w:val="23"/>
          <w:lang w:val="es-CO" w:eastAsia="es-CO"/>
        </w:rPr>
        <w:t>&lt;&lt;</w:t>
      </w:r>
      <w:r w:rsidRPr="00517CF6">
        <w:rPr>
          <w:rFonts w:cs="Arial"/>
          <w:i/>
          <w:iCs/>
          <w:color w:val="000000"/>
          <w:sz w:val="23"/>
          <w:szCs w:val="23"/>
          <w:lang w:val="es-CO" w:eastAsia="es-CO"/>
        </w:rPr>
        <w:t>las autoridades promoverán y atenderán las iniciativas de los ciudadanos, organizaciones y comunidades encaminadas a intervenir en los procesos de deliberación, formulación, ejecución, control y evaluación de la gestión pública</w:t>
      </w:r>
      <w:r w:rsidR="00160233" w:rsidRPr="00517CF6">
        <w:rPr>
          <w:rFonts w:cs="Arial"/>
          <w:i/>
          <w:iCs/>
          <w:color w:val="000000"/>
          <w:sz w:val="23"/>
          <w:szCs w:val="23"/>
          <w:lang w:val="es-CO" w:eastAsia="es-CO"/>
        </w:rPr>
        <w:t>&gt;&gt;</w:t>
      </w:r>
      <w:r w:rsidRPr="00517CF6">
        <w:rPr>
          <w:rFonts w:cs="Arial"/>
          <w:i/>
          <w:iCs/>
          <w:color w:val="000000"/>
          <w:sz w:val="23"/>
          <w:szCs w:val="23"/>
          <w:lang w:val="es-CO" w:eastAsia="es-CO"/>
        </w:rPr>
        <w:t>.</w:t>
      </w:r>
    </w:p>
    <w:p w14:paraId="3D26E98A" w14:textId="77777777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18DA1599" w14:textId="63504188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 el numeral 8</w:t>
      </w:r>
      <w:r w:rsidR="00160233" w:rsidRPr="00517CF6">
        <w:rPr>
          <w:rFonts w:cs="Arial"/>
          <w:color w:val="000000"/>
          <w:sz w:val="23"/>
          <w:szCs w:val="23"/>
          <w:lang w:val="es-CO" w:eastAsia="es-CO"/>
        </w:rPr>
        <w:t>º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 del artículo 8 de la Ley 1437 de 2011 dispone el deber de las autoridades de informar al público de los proyectos específicos de regulación y la información en que se fundamenten, con el objeto de recibir opiniones, sugerencias o</w:t>
      </w:r>
      <w:r w:rsidR="00132D4B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propuestas alternativas, de las cuales dejará registro público, </w:t>
      </w:r>
      <w:r w:rsidR="00C96D4C" w:rsidRPr="00517CF6">
        <w:rPr>
          <w:rFonts w:cs="Arial"/>
          <w:color w:val="000000"/>
          <w:sz w:val="23"/>
          <w:szCs w:val="23"/>
          <w:lang w:val="es-CO" w:eastAsia="es-CO"/>
        </w:rPr>
        <w:t xml:space="preserve">las cuales podrán ser tenidas en cuenta por </w:t>
      </w:r>
      <w:r w:rsidR="00160233" w:rsidRPr="00517CF6">
        <w:rPr>
          <w:rFonts w:cs="Arial"/>
          <w:color w:val="000000"/>
          <w:sz w:val="23"/>
          <w:szCs w:val="23"/>
          <w:lang w:val="es-CO" w:eastAsia="es-CO"/>
        </w:rPr>
        <w:t>dichas autoridades</w:t>
      </w:r>
      <w:r w:rsidR="00C96D4C" w:rsidRPr="00517CF6">
        <w:rPr>
          <w:rFonts w:cs="Arial"/>
          <w:color w:val="000000"/>
          <w:sz w:val="23"/>
          <w:szCs w:val="23"/>
          <w:lang w:val="es-CO" w:eastAsia="es-CO"/>
        </w:rPr>
        <w:t xml:space="preserve"> cuando sirvan para mejorar su contenido en favor del interés general.</w:t>
      </w:r>
    </w:p>
    <w:p w14:paraId="7F7A2B43" w14:textId="77777777" w:rsidR="00032E5B" w:rsidRPr="00517CF6" w:rsidRDefault="00032E5B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714BA37D" w14:textId="77777777" w:rsidR="0056350C" w:rsidRPr="00517CF6" w:rsidRDefault="0056350C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lastRenderedPageBreak/>
        <w:t>Que el documento Conpes 3816 de</w:t>
      </w:r>
      <w:r w:rsidR="00BF50A0" w:rsidRPr="00517CF6">
        <w:rPr>
          <w:rFonts w:cs="Arial"/>
          <w:color w:val="000000"/>
          <w:sz w:val="23"/>
          <w:szCs w:val="23"/>
          <w:lang w:val="es-CO" w:eastAsia="es-CO"/>
        </w:rPr>
        <w:t xml:space="preserve"> 2014 &lt;&lt;Mejora Normativa: Análisis de Impacto&gt;&gt; identificó posibilidades de mejora &lt;&lt;en lo que respecta a la calidad de la producción normativa del poder ejecutivo&gt;&gt;, y en ese orden de ideas, </w:t>
      </w:r>
      <w:r w:rsidR="00AB718F" w:rsidRPr="00517CF6">
        <w:rPr>
          <w:rFonts w:cs="Arial"/>
          <w:color w:val="000000"/>
          <w:sz w:val="23"/>
          <w:szCs w:val="23"/>
          <w:lang w:val="es-CO" w:eastAsia="es-CO"/>
        </w:rPr>
        <w:t>señala la necesidad de implementar el Análisis de Impacto Normativo, que comprende varias estrategias, una de ellas: la ejecución de &lt;&lt;</w:t>
      </w:r>
      <w:r w:rsidR="00AB718F" w:rsidRPr="00517CF6">
        <w:rPr>
          <w:rFonts w:cs="Arial"/>
          <w:i/>
          <w:color w:val="000000"/>
          <w:sz w:val="23"/>
          <w:szCs w:val="23"/>
          <w:lang w:val="es-CO" w:eastAsia="es-CO"/>
        </w:rPr>
        <w:t>metodologías que garanticen no sólo la publicidad de las mismas, y permitan participación efectiva de los ciudadanos y grupos de interés, sino que se analice técnicamente sus posibles impactos económicos, fiscales, ambientales y sociales</w:t>
      </w:r>
      <w:r w:rsidR="00AB718F" w:rsidRPr="00517CF6">
        <w:rPr>
          <w:rFonts w:cs="Arial"/>
          <w:color w:val="000000"/>
          <w:sz w:val="23"/>
          <w:szCs w:val="23"/>
          <w:lang w:val="es-CO" w:eastAsia="es-CO"/>
        </w:rPr>
        <w:t>&gt;&gt;</w:t>
      </w:r>
      <w:r w:rsidR="000B7E14" w:rsidRPr="00517CF6">
        <w:rPr>
          <w:rFonts w:cs="Arial"/>
          <w:color w:val="000000"/>
          <w:sz w:val="23"/>
          <w:szCs w:val="23"/>
          <w:lang w:val="es-CO" w:eastAsia="es-CO"/>
        </w:rPr>
        <w:t>.</w:t>
      </w:r>
    </w:p>
    <w:p w14:paraId="7DCBE533" w14:textId="77777777" w:rsidR="0056350C" w:rsidRPr="00517CF6" w:rsidRDefault="0056350C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1224C566" w14:textId="272DFC6D" w:rsidR="00102895" w:rsidRPr="00517CF6" w:rsidRDefault="00102895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51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>Que</w:t>
      </w:r>
      <w:r w:rsidR="00897BF9" w:rsidRPr="00517CF6">
        <w:rPr>
          <w:rFonts w:cs="Arial"/>
          <w:color w:val="000000"/>
          <w:sz w:val="23"/>
          <w:szCs w:val="23"/>
          <w:lang w:val="es-CO" w:eastAsia="es-CO"/>
        </w:rPr>
        <w:t xml:space="preserve"> en concordancia con lo expuesto en esta parte considerativa,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 el Decreto </w:t>
      </w:r>
      <w:r w:rsidR="00160233" w:rsidRPr="00517CF6">
        <w:rPr>
          <w:rFonts w:cs="Arial"/>
          <w:color w:val="000000"/>
          <w:sz w:val="23"/>
          <w:szCs w:val="23"/>
          <w:lang w:val="es-CO" w:eastAsia="es-CO"/>
        </w:rPr>
        <w:t xml:space="preserve">1081 de 2015,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Único Reglamentario</w:t>
      </w:r>
      <w:r w:rsidR="00160233" w:rsidRPr="00517CF6">
        <w:rPr>
          <w:rFonts w:cs="Arial"/>
          <w:color w:val="000000"/>
          <w:sz w:val="23"/>
          <w:szCs w:val="23"/>
          <w:lang w:val="es-CO" w:eastAsia="es-CO"/>
        </w:rPr>
        <w:t xml:space="preserve"> del Sector de la Presidencia de la </w:t>
      </w:r>
      <w:r w:rsidR="00517CF6" w:rsidRPr="00517CF6">
        <w:rPr>
          <w:rFonts w:cs="Arial"/>
          <w:color w:val="000000"/>
          <w:sz w:val="23"/>
          <w:szCs w:val="23"/>
          <w:lang w:val="es-CO" w:eastAsia="es-CO"/>
        </w:rPr>
        <w:t>República,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 modificado y adicionado por el Decreto 270 de 2017, contiene </w:t>
      </w:r>
      <w:r w:rsidR="0056350C" w:rsidRPr="00517CF6">
        <w:rPr>
          <w:rFonts w:cs="Arial"/>
          <w:color w:val="000000"/>
          <w:sz w:val="23"/>
          <w:szCs w:val="23"/>
          <w:lang w:val="es-CO" w:eastAsia="es-CO"/>
        </w:rPr>
        <w:t xml:space="preserve">en el Título 2, Parte 1, Libro 2,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la</w:t>
      </w:r>
      <w:r w:rsidR="0056350C" w:rsidRPr="00517CF6">
        <w:rPr>
          <w:rFonts w:cs="Arial"/>
          <w:color w:val="000000"/>
          <w:sz w:val="23"/>
          <w:szCs w:val="23"/>
          <w:lang w:val="es-CO" w:eastAsia="es-CO"/>
        </w:rPr>
        <w:t>s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="0056350C" w:rsidRPr="00517CF6">
        <w:rPr>
          <w:rFonts w:cs="Arial"/>
          <w:color w:val="000000"/>
          <w:sz w:val="23"/>
          <w:szCs w:val="23"/>
          <w:lang w:val="es-CO" w:eastAsia="es-CO"/>
        </w:rPr>
        <w:t>reglas</w:t>
      </w:r>
      <w:r w:rsid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bCs/>
          <w:color w:val="000000" w:themeColor="text1"/>
          <w:sz w:val="23"/>
          <w:szCs w:val="23"/>
        </w:rPr>
        <w:t>vigente</w:t>
      </w:r>
      <w:r w:rsidR="0056350C" w:rsidRPr="00517CF6">
        <w:rPr>
          <w:rFonts w:cs="Arial"/>
          <w:bCs/>
          <w:color w:val="000000" w:themeColor="text1"/>
          <w:sz w:val="23"/>
          <w:szCs w:val="23"/>
        </w:rPr>
        <w:t>s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en materia de técnica normativa para la</w:t>
      </w:r>
      <w:r w:rsidR="0056350C" w:rsidRPr="00517CF6">
        <w:rPr>
          <w:rFonts w:cs="Arial"/>
          <w:bCs/>
          <w:color w:val="000000" w:themeColor="text1"/>
          <w:sz w:val="23"/>
          <w:szCs w:val="23"/>
        </w:rPr>
        <w:t xml:space="preserve"> elaboración y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expedición de decretos y resoluciones</w:t>
      </w:r>
      <w:r w:rsidR="0056350C" w:rsidRPr="00517CF6">
        <w:rPr>
          <w:rFonts w:cs="Arial"/>
          <w:bCs/>
          <w:color w:val="000000" w:themeColor="text1"/>
          <w:sz w:val="23"/>
          <w:szCs w:val="23"/>
        </w:rPr>
        <w:t>.</w:t>
      </w:r>
    </w:p>
    <w:p w14:paraId="27B594E0" w14:textId="77777777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eastAsia="es-CO"/>
        </w:rPr>
      </w:pPr>
    </w:p>
    <w:p w14:paraId="7C1D1F67" w14:textId="43472501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Que el </w:t>
      </w:r>
      <w:r w:rsidR="0056350C" w:rsidRPr="00517CF6">
        <w:rPr>
          <w:rFonts w:cs="Arial"/>
          <w:color w:val="000000"/>
          <w:sz w:val="23"/>
          <w:szCs w:val="23"/>
          <w:lang w:val="es-CO" w:eastAsia="es-CO"/>
        </w:rPr>
        <w:t xml:space="preserve">parágrafo del artículo 2.1.2.1.23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 del </w:t>
      </w:r>
      <w:r w:rsidR="0056350C" w:rsidRPr="00517CF6">
        <w:rPr>
          <w:rFonts w:cs="Arial"/>
          <w:color w:val="000000"/>
          <w:sz w:val="23"/>
          <w:szCs w:val="23"/>
          <w:lang w:val="es-CO" w:eastAsia="es-CO"/>
        </w:rPr>
        <w:t xml:space="preserve"> 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Decreto 1081 de 2015, ordena a las autoridades públicas del orden nacional, competentes para proferir actos administrativos de contenido general y abstracto cuya competencia no corresponda al Presidente de la República, a reglamentar los plazos para la publicación de los proyectos específicos de regulación</w:t>
      </w:r>
      <w:r w:rsidR="0056350C" w:rsidRPr="00517CF6">
        <w:rPr>
          <w:rFonts w:cs="Arial"/>
          <w:color w:val="000000"/>
          <w:sz w:val="23"/>
          <w:szCs w:val="23"/>
          <w:lang w:val="es-CO" w:eastAsia="es-CO"/>
        </w:rPr>
        <w:t xml:space="preserve"> con el objeto de que sean socializados con la ciudadanía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.</w:t>
      </w:r>
    </w:p>
    <w:p w14:paraId="044A9DF2" w14:textId="77777777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</w:p>
    <w:p w14:paraId="3D99F334" w14:textId="77777777" w:rsidR="00102895" w:rsidRPr="00517CF6" w:rsidRDefault="00102895" w:rsidP="00517CF6">
      <w:pPr>
        <w:jc w:val="both"/>
        <w:rPr>
          <w:rFonts w:cs="Arial"/>
          <w:color w:val="000000"/>
          <w:sz w:val="23"/>
          <w:szCs w:val="23"/>
          <w:lang w:val="es-CO" w:eastAsia="es-CO"/>
        </w:rPr>
      </w:pPr>
      <w:r w:rsidRPr="00517CF6">
        <w:rPr>
          <w:rFonts w:cs="Arial"/>
          <w:color w:val="000000"/>
          <w:sz w:val="23"/>
          <w:szCs w:val="23"/>
          <w:lang w:val="es-CO" w:eastAsia="es-CO"/>
        </w:rPr>
        <w:t xml:space="preserve">Que se hace necesario establecer los plazos para el cumplimiento de dicha obligación en el Ministerio de </w:t>
      </w:r>
      <w:r w:rsidR="00C96D4C" w:rsidRPr="00517CF6">
        <w:rPr>
          <w:rFonts w:cs="Arial"/>
          <w:color w:val="000000"/>
          <w:sz w:val="23"/>
          <w:szCs w:val="23"/>
          <w:lang w:val="es-CO" w:eastAsia="es-CO"/>
        </w:rPr>
        <w:t>Educación Nacional</w:t>
      </w:r>
      <w:r w:rsidRPr="00517CF6">
        <w:rPr>
          <w:rFonts w:cs="Arial"/>
          <w:color w:val="000000"/>
          <w:sz w:val="23"/>
          <w:szCs w:val="23"/>
          <w:lang w:val="es-CO" w:eastAsia="es-CO"/>
        </w:rPr>
        <w:t>, con el fin de garantizar la participación de los ciudadanos o grupos de interés en la elaboración de los mencionados actos administrativos.</w:t>
      </w:r>
    </w:p>
    <w:p w14:paraId="187239DE" w14:textId="77777777" w:rsidR="00102895" w:rsidRPr="00517CF6" w:rsidRDefault="00102895" w:rsidP="00517CF6">
      <w:pPr>
        <w:ind w:right="165"/>
        <w:jc w:val="both"/>
        <w:rPr>
          <w:rFonts w:cs="Arial"/>
          <w:spacing w:val="-3"/>
          <w:sz w:val="23"/>
          <w:szCs w:val="23"/>
        </w:rPr>
      </w:pPr>
    </w:p>
    <w:p w14:paraId="7122CB64" w14:textId="77777777" w:rsidR="00102895" w:rsidRPr="00517CF6" w:rsidRDefault="00C96D4C" w:rsidP="00517CF6">
      <w:pPr>
        <w:ind w:right="165"/>
        <w:jc w:val="both"/>
        <w:rPr>
          <w:rFonts w:cs="Arial"/>
          <w:spacing w:val="-3"/>
          <w:sz w:val="23"/>
          <w:szCs w:val="23"/>
        </w:rPr>
      </w:pPr>
      <w:r w:rsidRPr="00517CF6">
        <w:rPr>
          <w:rFonts w:cs="Arial"/>
          <w:spacing w:val="-3"/>
          <w:sz w:val="23"/>
          <w:szCs w:val="23"/>
        </w:rPr>
        <w:t>En mérito de lo expuesto</w:t>
      </w:r>
      <w:r w:rsidR="00102895" w:rsidRPr="00517CF6">
        <w:rPr>
          <w:rFonts w:cs="Arial"/>
          <w:spacing w:val="-3"/>
          <w:sz w:val="23"/>
          <w:szCs w:val="23"/>
        </w:rPr>
        <w:t xml:space="preserve">, </w:t>
      </w:r>
    </w:p>
    <w:p w14:paraId="0CDAAEF1" w14:textId="77777777" w:rsidR="00032E5B" w:rsidRPr="00517CF6" w:rsidRDefault="00032E5B" w:rsidP="00517CF6">
      <w:pPr>
        <w:ind w:right="165"/>
        <w:jc w:val="both"/>
        <w:rPr>
          <w:rFonts w:cs="Arial"/>
          <w:spacing w:val="-3"/>
          <w:sz w:val="23"/>
          <w:szCs w:val="23"/>
        </w:rPr>
      </w:pPr>
    </w:p>
    <w:p w14:paraId="5EE1C20C" w14:textId="77777777" w:rsidR="00102895" w:rsidRPr="00517CF6" w:rsidRDefault="00102895" w:rsidP="00517CF6">
      <w:pPr>
        <w:ind w:right="165"/>
        <w:jc w:val="both"/>
        <w:rPr>
          <w:rFonts w:cs="Arial"/>
          <w:sz w:val="23"/>
          <w:szCs w:val="23"/>
        </w:rPr>
      </w:pPr>
    </w:p>
    <w:p w14:paraId="15DE36FB" w14:textId="00090CDE" w:rsidR="00102895" w:rsidRPr="00517CF6" w:rsidRDefault="00102895" w:rsidP="00517CF6">
      <w:pPr>
        <w:ind w:left="142" w:right="165"/>
        <w:jc w:val="center"/>
        <w:rPr>
          <w:rFonts w:cs="Arial"/>
          <w:b/>
          <w:sz w:val="23"/>
          <w:szCs w:val="23"/>
        </w:rPr>
      </w:pPr>
      <w:r w:rsidRPr="00517CF6">
        <w:rPr>
          <w:rFonts w:cs="Arial"/>
          <w:b/>
          <w:sz w:val="23"/>
          <w:szCs w:val="23"/>
        </w:rPr>
        <w:t>RESUELVE</w:t>
      </w:r>
    </w:p>
    <w:p w14:paraId="08EFEEE3" w14:textId="77777777" w:rsidR="00102895" w:rsidRPr="00517CF6" w:rsidRDefault="00102895" w:rsidP="00517CF6">
      <w:pPr>
        <w:ind w:left="142" w:right="165"/>
        <w:jc w:val="center"/>
        <w:rPr>
          <w:rFonts w:cs="Arial"/>
          <w:b/>
          <w:sz w:val="23"/>
          <w:szCs w:val="23"/>
        </w:rPr>
      </w:pPr>
    </w:p>
    <w:p w14:paraId="526274EE" w14:textId="58D98570" w:rsidR="00132D4B" w:rsidRPr="00517CF6" w:rsidRDefault="00102895" w:rsidP="00517CF6">
      <w:pPr>
        <w:ind w:right="165"/>
        <w:jc w:val="both"/>
        <w:rPr>
          <w:rFonts w:cs="Arial"/>
          <w:b/>
          <w:bCs/>
          <w:color w:val="000000" w:themeColor="text1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1. </w:t>
      </w:r>
      <w:r w:rsidRPr="00517CF6">
        <w:rPr>
          <w:rFonts w:cs="Arial"/>
          <w:b/>
          <w:bCs/>
          <w:i/>
          <w:color w:val="000000" w:themeColor="text1"/>
          <w:sz w:val="23"/>
          <w:szCs w:val="23"/>
        </w:rPr>
        <w:t>Objeto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Establecer los plazos para la publicación de los proyectos de regulación de carácter general y abstracto que expida el Ministerio de </w:t>
      </w:r>
      <w:r w:rsidR="00017A8C" w:rsidRPr="00517CF6">
        <w:rPr>
          <w:rFonts w:cs="Arial"/>
          <w:bCs/>
          <w:color w:val="000000" w:themeColor="text1"/>
          <w:sz w:val="23"/>
          <w:szCs w:val="23"/>
        </w:rPr>
        <w:t>Educación Nacional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,  de conformidad con lo señalado en el 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 xml:space="preserve">parágrafo del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artículo </w:t>
      </w:r>
      <w:r w:rsidR="00017A8C" w:rsidRPr="00517CF6">
        <w:rPr>
          <w:rFonts w:cs="Arial"/>
          <w:bCs/>
          <w:color w:val="000000" w:themeColor="text1"/>
          <w:sz w:val="23"/>
          <w:szCs w:val="23"/>
        </w:rPr>
        <w:t>2.1.2.1.23 del Decreto 1081 de 2015</w:t>
      </w:r>
      <w:r w:rsidRPr="00517CF6">
        <w:rPr>
          <w:rFonts w:cs="Arial"/>
          <w:bCs/>
          <w:color w:val="000000" w:themeColor="text1"/>
          <w:sz w:val="23"/>
          <w:szCs w:val="23"/>
        </w:rPr>
        <w:t>.</w:t>
      </w:r>
    </w:p>
    <w:p w14:paraId="262CABC0" w14:textId="77777777" w:rsidR="00132D4B" w:rsidRPr="00517CF6" w:rsidRDefault="00132D4B" w:rsidP="00517CF6">
      <w:pPr>
        <w:ind w:right="165"/>
        <w:jc w:val="both"/>
        <w:rPr>
          <w:rFonts w:cs="Arial"/>
          <w:b/>
          <w:bCs/>
          <w:color w:val="000000" w:themeColor="text1"/>
          <w:sz w:val="23"/>
          <w:szCs w:val="23"/>
        </w:rPr>
      </w:pPr>
    </w:p>
    <w:p w14:paraId="1AC59DB3" w14:textId="77777777" w:rsidR="00132D4B" w:rsidRPr="00517CF6" w:rsidRDefault="00F476A1" w:rsidP="00517CF6">
      <w:pPr>
        <w:ind w:right="165"/>
        <w:jc w:val="both"/>
        <w:rPr>
          <w:rFonts w:cs="Arial"/>
          <w:b/>
          <w:bCs/>
          <w:color w:val="000000" w:themeColor="text1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2. </w:t>
      </w:r>
      <w:r w:rsidRPr="00517CF6">
        <w:rPr>
          <w:rFonts w:cs="Arial"/>
          <w:b/>
          <w:bCs/>
          <w:i/>
          <w:color w:val="000000" w:themeColor="text1"/>
          <w:sz w:val="23"/>
          <w:szCs w:val="23"/>
        </w:rPr>
        <w:t xml:space="preserve">Finalidad de la publicación.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La publicación de que trata el presente acto administrativo, facilita que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los ciudadanos y grupos de interés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conozca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n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antes de su expedición, las regulaciones 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 xml:space="preserve">generales y abstractas </w:t>
      </w:r>
      <w:r w:rsidRPr="00517CF6">
        <w:rPr>
          <w:rFonts w:cs="Arial"/>
          <w:bCs/>
          <w:color w:val="000000" w:themeColor="text1"/>
          <w:sz w:val="23"/>
          <w:szCs w:val="23"/>
        </w:rPr>
        <w:t>que ha planeado el Ministerio de Educación Nacional, de tal forma que pueda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n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participar en el proceso de redacción, presentando de manera respetuosa, observaciones, sugerencias y comentarios. Lo anterior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>,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con el fin de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 xml:space="preserve"> propender porque esta entidad conozca con mayor certeza los impactos sociales y económicos que pueden generar sus regulaciones en el sector Educación y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en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 xml:space="preserve"> los actores que en él intervienen.</w:t>
      </w:r>
    </w:p>
    <w:p w14:paraId="63B6166E" w14:textId="77777777" w:rsidR="00132D4B" w:rsidRPr="00517CF6" w:rsidRDefault="00132D4B" w:rsidP="00517CF6">
      <w:pPr>
        <w:ind w:right="165"/>
        <w:jc w:val="both"/>
        <w:rPr>
          <w:rFonts w:cs="Arial"/>
          <w:b/>
          <w:bCs/>
          <w:color w:val="000000" w:themeColor="text1"/>
          <w:sz w:val="23"/>
          <w:szCs w:val="23"/>
        </w:rPr>
      </w:pPr>
    </w:p>
    <w:p w14:paraId="5B876389" w14:textId="6F8BEAD5" w:rsidR="00132D4B" w:rsidRPr="00517CF6" w:rsidRDefault="00102895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</w:t>
      </w:r>
      <w:r w:rsidR="00785AF7" w:rsidRPr="00517CF6">
        <w:rPr>
          <w:rFonts w:cs="Arial"/>
          <w:b/>
          <w:bCs/>
          <w:color w:val="000000" w:themeColor="text1"/>
          <w:sz w:val="23"/>
          <w:szCs w:val="23"/>
        </w:rPr>
        <w:t>3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Pr="00517CF6">
        <w:rPr>
          <w:rFonts w:cs="Arial"/>
          <w:b/>
          <w:bCs/>
          <w:i/>
          <w:color w:val="000000" w:themeColor="text1"/>
          <w:sz w:val="23"/>
          <w:szCs w:val="23"/>
        </w:rPr>
        <w:t>Plazos para la publicación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="00017A8C" w:rsidRPr="00517CF6">
        <w:rPr>
          <w:rFonts w:cs="Arial"/>
          <w:bCs/>
          <w:color w:val="000000" w:themeColor="text1"/>
          <w:sz w:val="23"/>
          <w:szCs w:val="23"/>
        </w:rPr>
        <w:t>El plazo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para la publicación de los proyectos de regulación de carácter general y abstracto que deba expedir el Ministerio de </w:t>
      </w:r>
      <w:r w:rsidR="00017A8C" w:rsidRPr="00517CF6">
        <w:rPr>
          <w:rFonts w:cs="Arial"/>
          <w:bCs/>
          <w:color w:val="000000" w:themeColor="text1"/>
          <w:sz w:val="23"/>
          <w:szCs w:val="23"/>
        </w:rPr>
        <w:t>Educación Nacional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,  </w:t>
      </w:r>
      <w:r w:rsidR="00017A8C" w:rsidRPr="00517CF6">
        <w:rPr>
          <w:rFonts w:cs="Arial"/>
          <w:bCs/>
          <w:color w:val="000000" w:themeColor="text1"/>
          <w:sz w:val="23"/>
          <w:szCs w:val="23"/>
        </w:rPr>
        <w:t>será mínimo de diez (10) días calendario, antes de la suscripción del mismo.</w:t>
      </w:r>
    </w:p>
    <w:p w14:paraId="740255FC" w14:textId="77777777" w:rsidR="00132D4B" w:rsidRPr="00517CF6" w:rsidRDefault="00132D4B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1B1E5942" w14:textId="18D98A75" w:rsidR="00132D4B" w:rsidRPr="00517CF6" w:rsidRDefault="00017A8C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>Parágrafo</w:t>
      </w:r>
      <w:r w:rsidR="00785AF7" w:rsidRPr="00517CF6">
        <w:rPr>
          <w:rFonts w:cs="Arial"/>
          <w:b/>
          <w:bCs/>
          <w:color w:val="000000" w:themeColor="text1"/>
          <w:sz w:val="23"/>
          <w:szCs w:val="23"/>
        </w:rPr>
        <w:t xml:space="preserve"> 1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>.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De manera excepcional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>,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la publicación podrá hacerse por un plazo inferior, siempre y cuando sea autorizado por el 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>D</w:t>
      </w:r>
      <w:r w:rsidRPr="00517CF6">
        <w:rPr>
          <w:rFonts w:cs="Arial"/>
          <w:bCs/>
          <w:color w:val="000000" w:themeColor="text1"/>
          <w:sz w:val="23"/>
          <w:szCs w:val="23"/>
        </w:rPr>
        <w:t>espacho de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Pr="00517CF6">
        <w:rPr>
          <w:rFonts w:cs="Arial"/>
          <w:bCs/>
          <w:color w:val="000000" w:themeColor="text1"/>
          <w:sz w:val="23"/>
          <w:szCs w:val="23"/>
        </w:rPr>
        <w:t>l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>a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Ministr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 xml:space="preserve">a. Para tal </w:t>
      </w:r>
      <w:r w:rsidR="00F476A1" w:rsidRPr="00517CF6">
        <w:rPr>
          <w:rFonts w:cs="Arial"/>
          <w:bCs/>
          <w:color w:val="000000" w:themeColor="text1"/>
          <w:sz w:val="23"/>
          <w:szCs w:val="23"/>
        </w:rPr>
        <w:t>fin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 xml:space="preserve">la dependencia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 xml:space="preserve">encargada de la redacción 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>d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>el proyecto de regulación deberá presentar al Despacho, por intermedio de la Oficina Asesora Jurídica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>,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="00F476A1" w:rsidRPr="00517CF6">
        <w:rPr>
          <w:rFonts w:cs="Arial"/>
          <w:bCs/>
          <w:color w:val="000000" w:themeColor="text1"/>
          <w:sz w:val="23"/>
          <w:szCs w:val="23"/>
        </w:rPr>
        <w:t>el escrito que contenga</w:t>
      </w:r>
      <w:r w:rsidR="00B86069"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la justificación </w:t>
      </w:r>
      <w:r w:rsidR="00762801" w:rsidRPr="00517CF6">
        <w:rPr>
          <w:rFonts w:cs="Arial"/>
          <w:bCs/>
          <w:color w:val="000000" w:themeColor="text1"/>
          <w:sz w:val="23"/>
          <w:szCs w:val="23"/>
        </w:rPr>
        <w:t>respectiva</w:t>
      </w:r>
      <w:r w:rsidR="00785AF7" w:rsidRPr="00517CF6">
        <w:rPr>
          <w:rFonts w:cs="Arial"/>
          <w:bCs/>
          <w:color w:val="000000" w:themeColor="text1"/>
          <w:sz w:val="23"/>
          <w:szCs w:val="23"/>
        </w:rPr>
        <w:t>.</w:t>
      </w:r>
    </w:p>
    <w:p w14:paraId="18A98EDF" w14:textId="77777777" w:rsidR="00132D4B" w:rsidRPr="00517CF6" w:rsidRDefault="00132D4B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4FAE6208" w14:textId="6F8D2952" w:rsidR="00132D4B" w:rsidRPr="00517CF6" w:rsidRDefault="00785AF7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Parágrafo 2. </w:t>
      </w:r>
      <w:r w:rsidRPr="00517CF6">
        <w:rPr>
          <w:rFonts w:cs="Arial"/>
          <w:bCs/>
          <w:color w:val="000000" w:themeColor="text1"/>
          <w:sz w:val="23"/>
          <w:szCs w:val="23"/>
        </w:rPr>
        <w:t>La</w:t>
      </w:r>
      <w:r w:rsidR="00032E5B" w:rsidRPr="00517CF6">
        <w:rPr>
          <w:rFonts w:cs="Arial"/>
          <w:bCs/>
          <w:color w:val="000000" w:themeColor="text1"/>
          <w:sz w:val="23"/>
          <w:szCs w:val="23"/>
        </w:rPr>
        <w:t>s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dependencia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s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 xml:space="preserve">encargadas de la redacción del proyecto </w:t>
      </w:r>
      <w:r w:rsidRPr="00517CF6">
        <w:rPr>
          <w:rFonts w:cs="Arial"/>
          <w:bCs/>
          <w:color w:val="000000" w:themeColor="text1"/>
          <w:sz w:val="23"/>
          <w:szCs w:val="23"/>
        </w:rPr>
        <w:t>de regulación y la Oficina Asesora Jurídica deberán analizar la posibilidad de ampliar el plazo indicado en el inciso 1º de este artículo</w:t>
      </w:r>
      <w:r w:rsidR="00032E5B" w:rsidRPr="00517CF6">
        <w:rPr>
          <w:rFonts w:cs="Arial"/>
          <w:bCs/>
          <w:color w:val="000000" w:themeColor="text1"/>
          <w:sz w:val="23"/>
          <w:szCs w:val="23"/>
        </w:rPr>
        <w:t>,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cuando se traten de</w:t>
      </w:r>
      <w:r w:rsidR="008C33CC" w:rsidRPr="00517CF6">
        <w:rPr>
          <w:rFonts w:cs="Arial"/>
          <w:bCs/>
          <w:color w:val="000000" w:themeColor="text1"/>
          <w:sz w:val="23"/>
          <w:szCs w:val="23"/>
        </w:rPr>
        <w:t xml:space="preserve"> proyectos que contengan una regulación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:</w:t>
      </w:r>
      <w:r w:rsidR="008C33CC" w:rsidRPr="00517CF6">
        <w:rPr>
          <w:rFonts w:cs="Arial"/>
          <w:bCs/>
          <w:color w:val="000000" w:themeColor="text1"/>
          <w:sz w:val="23"/>
          <w:szCs w:val="23"/>
        </w:rPr>
        <w:t xml:space="preserve"> i) extensa (más de 20 artículos) o ii) con altas probabilidades de generar impactos importantes en el Sector Educación.</w:t>
      </w:r>
      <w:r w:rsidR="008C1DC4">
        <w:rPr>
          <w:rFonts w:cs="Arial"/>
          <w:bCs/>
          <w:color w:val="000000" w:themeColor="text1"/>
          <w:sz w:val="23"/>
          <w:szCs w:val="23"/>
        </w:rPr>
        <w:t xml:space="preserve"> Dicha situación deberá ser explicada en la respectiva memoria justificativa que acompaña el proyecto de regulación normativa.</w:t>
      </w:r>
    </w:p>
    <w:p w14:paraId="3BDAD143" w14:textId="77777777" w:rsidR="00132D4B" w:rsidRPr="00517CF6" w:rsidRDefault="00132D4B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66BB34E0" w14:textId="5B15064A" w:rsidR="00132D4B" w:rsidRPr="00517CF6" w:rsidRDefault="00102895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</w:t>
      </w:r>
      <w:r w:rsidR="008C33CC" w:rsidRPr="00517CF6">
        <w:rPr>
          <w:rFonts w:cs="Arial"/>
          <w:b/>
          <w:bCs/>
          <w:color w:val="000000" w:themeColor="text1"/>
          <w:sz w:val="23"/>
          <w:szCs w:val="23"/>
        </w:rPr>
        <w:t>4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>.</w:t>
      </w:r>
      <w:r w:rsidR="00F476A1" w:rsidRPr="00517CF6">
        <w:rPr>
          <w:rFonts w:cs="Arial"/>
          <w:b/>
          <w:bCs/>
          <w:color w:val="000000" w:themeColor="text1"/>
          <w:sz w:val="23"/>
          <w:szCs w:val="23"/>
        </w:rPr>
        <w:t xml:space="preserve"> </w:t>
      </w:r>
      <w:r w:rsidR="002E628D" w:rsidRPr="00517CF6">
        <w:rPr>
          <w:rFonts w:cs="Arial"/>
          <w:b/>
          <w:bCs/>
          <w:i/>
          <w:color w:val="000000" w:themeColor="text1"/>
          <w:sz w:val="23"/>
          <w:szCs w:val="23"/>
        </w:rPr>
        <w:t xml:space="preserve">Requisitos para proceder a </w:t>
      </w:r>
      <w:r w:rsidR="00F476A1" w:rsidRPr="00517CF6">
        <w:rPr>
          <w:rFonts w:cs="Arial"/>
          <w:b/>
          <w:bCs/>
          <w:i/>
          <w:color w:val="000000" w:themeColor="text1"/>
          <w:sz w:val="23"/>
          <w:szCs w:val="23"/>
        </w:rPr>
        <w:t>la publicación.</w:t>
      </w:r>
      <w:r w:rsidR="008C33CC" w:rsidRPr="00517CF6">
        <w:rPr>
          <w:rFonts w:cs="Arial"/>
          <w:b/>
          <w:bCs/>
          <w:i/>
          <w:color w:val="000000" w:themeColor="text1"/>
          <w:sz w:val="23"/>
          <w:szCs w:val="23"/>
        </w:rPr>
        <w:t xml:space="preserve"> </w:t>
      </w:r>
      <w:r w:rsidR="008C33CC" w:rsidRPr="00517CF6">
        <w:rPr>
          <w:rFonts w:cs="Arial"/>
          <w:bCs/>
          <w:color w:val="000000" w:themeColor="text1"/>
          <w:sz w:val="23"/>
          <w:szCs w:val="23"/>
        </w:rPr>
        <w:t>La Oficina Asesora Jurídica es la responsable de solicitar a la Oficina Asesora de Comunicaciones la publicación de los proyectos de regulación de carácter general y abstracto que deba expedir el Ministerio de Educación Nacional</w:t>
      </w:r>
      <w:r w:rsidR="00132D4B" w:rsidRPr="00517CF6">
        <w:rPr>
          <w:rFonts w:cs="Arial"/>
          <w:bCs/>
          <w:color w:val="000000" w:themeColor="text1"/>
          <w:sz w:val="23"/>
          <w:szCs w:val="23"/>
        </w:rPr>
        <w:t>.</w:t>
      </w:r>
    </w:p>
    <w:p w14:paraId="09E03AE5" w14:textId="77777777" w:rsidR="00132D4B" w:rsidRPr="00517CF6" w:rsidRDefault="00132D4B" w:rsidP="00517CF6">
      <w:pPr>
        <w:ind w:right="165"/>
        <w:jc w:val="both"/>
        <w:rPr>
          <w:rFonts w:cs="Arial"/>
          <w:b/>
          <w:bCs/>
          <w:i/>
          <w:color w:val="000000" w:themeColor="text1"/>
          <w:sz w:val="23"/>
          <w:szCs w:val="23"/>
        </w:rPr>
      </w:pPr>
    </w:p>
    <w:p w14:paraId="7653016E" w14:textId="074D0423" w:rsidR="00132D4B" w:rsidRPr="00517CF6" w:rsidRDefault="008C33CC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Cs/>
          <w:color w:val="000000" w:themeColor="text1"/>
          <w:sz w:val="23"/>
          <w:szCs w:val="23"/>
        </w:rPr>
        <w:lastRenderedPageBreak/>
        <w:t xml:space="preserve">La solicitud de que trata el inciso anterior solo será procedente respecto de proyectos que hayan sido revisados y ajustados, tanto por las dependencias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encargadas de su redacción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, como por la Oficina Asesora Jurídica. </w:t>
      </w:r>
    </w:p>
    <w:p w14:paraId="7A402B7E" w14:textId="77777777" w:rsidR="00132D4B" w:rsidRPr="00517CF6" w:rsidRDefault="00132D4B" w:rsidP="00517CF6">
      <w:pPr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0AD18BD8" w14:textId="77777777" w:rsidR="00132D4B" w:rsidRPr="00517CF6" w:rsidRDefault="00DD047A" w:rsidP="00517CF6">
      <w:pPr>
        <w:ind w:right="165"/>
        <w:jc w:val="both"/>
        <w:rPr>
          <w:rFonts w:cs="Arial"/>
          <w:b/>
          <w:bCs/>
          <w:color w:val="000000" w:themeColor="text1"/>
          <w:sz w:val="23"/>
          <w:szCs w:val="23"/>
        </w:rPr>
      </w:pPr>
      <w:r w:rsidRPr="00517CF6">
        <w:rPr>
          <w:rFonts w:cs="Arial"/>
          <w:bCs/>
          <w:color w:val="000000" w:themeColor="text1"/>
          <w:sz w:val="23"/>
          <w:szCs w:val="23"/>
        </w:rPr>
        <w:t xml:space="preserve">La solicitud deberá estar acompañada, además del proyecto normativo, con la </w:t>
      </w:r>
      <w:r w:rsidR="00F476A1" w:rsidRPr="00517CF6">
        <w:rPr>
          <w:rFonts w:cs="Arial"/>
          <w:b/>
          <w:bCs/>
          <w:i/>
          <w:color w:val="000000" w:themeColor="text1"/>
          <w:sz w:val="23"/>
          <w:szCs w:val="23"/>
        </w:rPr>
        <w:t xml:space="preserve"> </w:t>
      </w:r>
      <w:r w:rsidRPr="00517CF6">
        <w:rPr>
          <w:rFonts w:cs="Arial"/>
          <w:sz w:val="23"/>
          <w:szCs w:val="23"/>
        </w:rPr>
        <w:t xml:space="preserve">respectiva memoria justificativa que será elaborada por las dependencias </w:t>
      </w:r>
      <w:r w:rsidR="00267F0C" w:rsidRPr="00517CF6">
        <w:rPr>
          <w:rFonts w:cs="Arial"/>
          <w:sz w:val="23"/>
          <w:szCs w:val="23"/>
        </w:rPr>
        <w:t>encargadas de la redacción del referido proyecto</w:t>
      </w:r>
      <w:r w:rsidRPr="00517CF6">
        <w:rPr>
          <w:rFonts w:cs="Arial"/>
          <w:sz w:val="23"/>
          <w:szCs w:val="23"/>
        </w:rPr>
        <w:t>, la Oficina Asesora Jurídica y la Oficina Asesora de Planeación y Finanzas, según sus competencias.</w:t>
      </w:r>
    </w:p>
    <w:p w14:paraId="12F35D50" w14:textId="77777777" w:rsidR="00132D4B" w:rsidRPr="00517CF6" w:rsidRDefault="00132D4B" w:rsidP="00517CF6">
      <w:pPr>
        <w:ind w:right="165"/>
        <w:jc w:val="both"/>
        <w:rPr>
          <w:rFonts w:cs="Arial"/>
          <w:b/>
          <w:bCs/>
          <w:color w:val="000000" w:themeColor="text1"/>
          <w:sz w:val="23"/>
          <w:szCs w:val="23"/>
        </w:rPr>
      </w:pPr>
    </w:p>
    <w:p w14:paraId="1D4F7DE3" w14:textId="0AD38981" w:rsidR="00132D4B" w:rsidRPr="00517CF6" w:rsidRDefault="008C33CC" w:rsidP="00517CF6">
      <w:pPr>
        <w:ind w:right="165"/>
        <w:jc w:val="both"/>
        <w:rPr>
          <w:rFonts w:cs="Arial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5. </w:t>
      </w:r>
      <w:r w:rsidR="00DE41B2" w:rsidRPr="00517CF6">
        <w:rPr>
          <w:rFonts w:cs="Arial"/>
          <w:b/>
          <w:bCs/>
          <w:i/>
          <w:color w:val="000000" w:themeColor="text1"/>
          <w:sz w:val="23"/>
          <w:szCs w:val="23"/>
        </w:rPr>
        <w:t>Lugar de p</w:t>
      </w:r>
      <w:r w:rsidR="00102895" w:rsidRPr="00517CF6">
        <w:rPr>
          <w:rFonts w:cs="Arial"/>
          <w:b/>
          <w:bCs/>
          <w:i/>
          <w:color w:val="000000" w:themeColor="text1"/>
          <w:sz w:val="23"/>
          <w:szCs w:val="23"/>
        </w:rPr>
        <w:t>ublicación de proyectos de regulación de carácter general y abstracto.</w:t>
      </w:r>
      <w:r w:rsidR="00102895" w:rsidRPr="00517CF6">
        <w:rPr>
          <w:rFonts w:cs="Arial"/>
          <w:b/>
          <w:bCs/>
          <w:color w:val="000000" w:themeColor="text1"/>
          <w:sz w:val="23"/>
          <w:szCs w:val="23"/>
        </w:rPr>
        <w:t xml:space="preserve"> 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La publicación de los proyectos de regulación de carácter general y abstracto que deba expedir esta Entidad </w:t>
      </w:r>
      <w:r w:rsidR="002E628D" w:rsidRPr="00517CF6">
        <w:rPr>
          <w:rFonts w:cs="Arial"/>
          <w:bCs/>
          <w:color w:val="000000" w:themeColor="text1"/>
          <w:sz w:val="23"/>
          <w:szCs w:val="23"/>
        </w:rPr>
        <w:t xml:space="preserve">la 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>efectuará</w:t>
      </w:r>
      <w:r w:rsidR="002E628D" w:rsidRPr="00517CF6">
        <w:rPr>
          <w:rFonts w:cs="Arial"/>
          <w:bCs/>
          <w:color w:val="000000" w:themeColor="text1"/>
          <w:sz w:val="23"/>
          <w:szCs w:val="23"/>
        </w:rPr>
        <w:t xml:space="preserve"> la Oficina Asesora de Comunicaciones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 en</w:t>
      </w:r>
      <w:r w:rsidR="00DE41B2" w:rsidRPr="00517CF6">
        <w:rPr>
          <w:rFonts w:cs="Arial"/>
          <w:bCs/>
          <w:color w:val="000000" w:themeColor="text1"/>
          <w:sz w:val="23"/>
          <w:szCs w:val="23"/>
        </w:rPr>
        <w:t xml:space="preserve"> el </w:t>
      </w:r>
      <w:r w:rsidR="00102895" w:rsidRPr="00517CF6">
        <w:rPr>
          <w:rFonts w:cs="Arial"/>
          <w:sz w:val="23"/>
          <w:szCs w:val="23"/>
        </w:rPr>
        <w:t xml:space="preserve">sitio web del Ministerio de </w:t>
      </w:r>
      <w:r w:rsidR="00DE41B2" w:rsidRPr="00517CF6">
        <w:rPr>
          <w:rFonts w:cs="Arial"/>
          <w:sz w:val="23"/>
          <w:szCs w:val="23"/>
        </w:rPr>
        <w:t>Educación Nacional</w:t>
      </w:r>
      <w:r w:rsidR="002E628D" w:rsidRPr="00517CF6">
        <w:rPr>
          <w:rFonts w:cs="Arial"/>
          <w:sz w:val="23"/>
          <w:szCs w:val="23"/>
        </w:rPr>
        <w:t>, en el link de &lt;&lt;</w:t>
      </w:r>
      <w:r w:rsidR="002E628D" w:rsidRPr="00517CF6">
        <w:rPr>
          <w:rFonts w:cs="Arial"/>
          <w:i/>
          <w:sz w:val="23"/>
          <w:szCs w:val="23"/>
        </w:rPr>
        <w:t>Normatividad</w:t>
      </w:r>
      <w:r w:rsidR="002E628D" w:rsidRPr="00517CF6">
        <w:rPr>
          <w:rFonts w:cs="Arial"/>
          <w:sz w:val="23"/>
          <w:szCs w:val="23"/>
        </w:rPr>
        <w:t>&gt;&gt;, &lt;&lt;</w:t>
      </w:r>
      <w:r w:rsidR="002E628D" w:rsidRPr="00517CF6">
        <w:rPr>
          <w:rFonts w:cs="Arial"/>
          <w:i/>
          <w:sz w:val="23"/>
          <w:szCs w:val="23"/>
        </w:rPr>
        <w:t>Proyectos normativos para observaciones ciudadanas</w:t>
      </w:r>
      <w:r w:rsidR="002E628D" w:rsidRPr="00517CF6">
        <w:rPr>
          <w:rFonts w:cs="Arial"/>
          <w:sz w:val="23"/>
          <w:szCs w:val="23"/>
        </w:rPr>
        <w:t>&gt;&gt;,</w:t>
      </w:r>
      <w:r w:rsidR="00102895" w:rsidRPr="00517CF6">
        <w:rPr>
          <w:rFonts w:cs="Arial"/>
          <w:sz w:val="23"/>
          <w:szCs w:val="23"/>
        </w:rPr>
        <w:t xml:space="preserve"> durante los plazos establecidos en el artículo </w:t>
      </w:r>
      <w:r w:rsidRPr="00517CF6">
        <w:rPr>
          <w:rFonts w:cs="Arial"/>
          <w:sz w:val="23"/>
          <w:szCs w:val="23"/>
        </w:rPr>
        <w:t>3</w:t>
      </w:r>
      <w:r w:rsidR="00102895" w:rsidRPr="00517CF6">
        <w:rPr>
          <w:rFonts w:cs="Arial"/>
          <w:sz w:val="23"/>
          <w:szCs w:val="23"/>
        </w:rPr>
        <w:t xml:space="preserve"> de la presente </w:t>
      </w:r>
      <w:r w:rsidRPr="00517CF6">
        <w:rPr>
          <w:rFonts w:cs="Arial"/>
          <w:sz w:val="23"/>
          <w:szCs w:val="23"/>
        </w:rPr>
        <w:t>r</w:t>
      </w:r>
      <w:r w:rsidR="00102895" w:rsidRPr="00517CF6">
        <w:rPr>
          <w:rFonts w:cs="Arial"/>
          <w:sz w:val="23"/>
          <w:szCs w:val="23"/>
        </w:rPr>
        <w:t>esolución.</w:t>
      </w:r>
    </w:p>
    <w:p w14:paraId="0D9D2D4F" w14:textId="77777777" w:rsidR="00132D4B" w:rsidRPr="00517CF6" w:rsidRDefault="00132D4B" w:rsidP="00517CF6">
      <w:pPr>
        <w:ind w:right="165"/>
        <w:jc w:val="both"/>
        <w:rPr>
          <w:rFonts w:cs="Arial"/>
          <w:sz w:val="23"/>
          <w:szCs w:val="23"/>
        </w:rPr>
      </w:pPr>
    </w:p>
    <w:p w14:paraId="61DFD9E2" w14:textId="1D69005E" w:rsidR="00132D4B" w:rsidRPr="00517CF6" w:rsidRDefault="002E628D" w:rsidP="00517CF6">
      <w:pPr>
        <w:ind w:right="165"/>
        <w:jc w:val="both"/>
        <w:rPr>
          <w:rFonts w:cs="Arial"/>
          <w:sz w:val="23"/>
          <w:szCs w:val="23"/>
        </w:rPr>
      </w:pPr>
      <w:r w:rsidRPr="00517CF6">
        <w:rPr>
          <w:rFonts w:cs="Arial"/>
          <w:sz w:val="23"/>
          <w:szCs w:val="23"/>
        </w:rPr>
        <w:t xml:space="preserve">La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Oficina Asesora de Comunicaciones deberá indicar el correo electrónico en el cual se recibirán las observaciones, sugerencias y comentarios de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los ciudadanos y grupos de interés</w:t>
      </w:r>
      <w:r w:rsidRPr="00517CF6">
        <w:rPr>
          <w:rFonts w:cs="Arial"/>
          <w:bCs/>
          <w:color w:val="000000" w:themeColor="text1"/>
          <w:sz w:val="23"/>
          <w:szCs w:val="23"/>
        </w:rPr>
        <w:t>. Lo anterior sin perjuicio de que los interesados puedan hacer uso de los demás medios previstos por el Ministerio para la radicación de documentos.</w:t>
      </w:r>
    </w:p>
    <w:p w14:paraId="63B6970E" w14:textId="77777777" w:rsidR="00132D4B" w:rsidRPr="00517CF6" w:rsidRDefault="00132D4B" w:rsidP="00517CF6">
      <w:pPr>
        <w:ind w:right="165"/>
        <w:jc w:val="both"/>
        <w:rPr>
          <w:rFonts w:cs="Arial"/>
          <w:sz w:val="23"/>
          <w:szCs w:val="23"/>
        </w:rPr>
      </w:pPr>
    </w:p>
    <w:p w14:paraId="2883E945" w14:textId="73410D68" w:rsidR="00132D4B" w:rsidRPr="00517CF6" w:rsidRDefault="00102895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bookmarkStart w:id="0" w:name="_GoBack"/>
      <w:bookmarkEnd w:id="0"/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</w:t>
      </w:r>
      <w:r w:rsidR="00267F0C" w:rsidRPr="00517CF6">
        <w:rPr>
          <w:rFonts w:cs="Arial"/>
          <w:b/>
          <w:bCs/>
          <w:color w:val="000000" w:themeColor="text1"/>
          <w:sz w:val="23"/>
          <w:szCs w:val="23"/>
        </w:rPr>
        <w:t>6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Pr="00517CF6">
        <w:rPr>
          <w:rFonts w:cs="Arial"/>
          <w:b/>
          <w:bCs/>
          <w:i/>
          <w:color w:val="000000" w:themeColor="text1"/>
          <w:sz w:val="23"/>
          <w:szCs w:val="23"/>
        </w:rPr>
        <w:t>Comentarios de los ciudadanos y grupos de interés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Pr="00517CF6">
        <w:rPr>
          <w:rFonts w:cs="Arial"/>
          <w:bCs/>
          <w:color w:val="000000" w:themeColor="text1"/>
          <w:sz w:val="23"/>
          <w:szCs w:val="23"/>
        </w:rPr>
        <w:t>L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>a</w:t>
      </w:r>
      <w:r w:rsidRPr="00517CF6">
        <w:rPr>
          <w:rFonts w:cs="Arial"/>
          <w:bCs/>
          <w:color w:val="000000" w:themeColor="text1"/>
          <w:sz w:val="23"/>
          <w:szCs w:val="23"/>
        </w:rPr>
        <w:t>s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 xml:space="preserve"> observaciones, sugerencias y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comentarios que se reciban de los ciudadanos y grupos de interés serán </w:t>
      </w:r>
      <w:r w:rsidR="000769AC" w:rsidRPr="00517CF6">
        <w:rPr>
          <w:rFonts w:cs="Arial"/>
          <w:bCs/>
          <w:color w:val="000000" w:themeColor="text1"/>
          <w:sz w:val="23"/>
          <w:szCs w:val="23"/>
        </w:rPr>
        <w:t>analizados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por </w:t>
      </w:r>
      <w:r w:rsidR="000769AC" w:rsidRPr="00517CF6">
        <w:rPr>
          <w:rFonts w:cs="Arial"/>
          <w:bCs/>
          <w:color w:val="000000" w:themeColor="text1"/>
          <w:sz w:val="23"/>
          <w:szCs w:val="23"/>
        </w:rPr>
        <w:t xml:space="preserve">la dependencia encargada de la redacción del respectivo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proyecto de regulación</w:t>
      </w:r>
      <w:r w:rsidRPr="00517CF6">
        <w:rPr>
          <w:rFonts w:cs="Arial"/>
          <w:bCs/>
          <w:color w:val="000000" w:themeColor="text1"/>
          <w:sz w:val="23"/>
          <w:szCs w:val="23"/>
        </w:rPr>
        <w:t>, a fin de incluir las modificaciones o ajustes que se consideren pertinentes.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 xml:space="preserve"> Además de lo anterior, 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 xml:space="preserve">dicha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dependencia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 xml:space="preserve"> será la responsable de 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 xml:space="preserve">dar respuesta 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>a las intervenciones ciudadanas y de los grupos de interés que se hayan recibido.</w:t>
      </w:r>
    </w:p>
    <w:p w14:paraId="6850F0A1" w14:textId="77777777" w:rsidR="00132D4B" w:rsidRPr="00517CF6" w:rsidRDefault="00132D4B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042C4CCC" w14:textId="2A39B359" w:rsidR="00132D4B" w:rsidRPr="00517CF6" w:rsidRDefault="00774B5A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Cs/>
          <w:color w:val="000000" w:themeColor="text1"/>
          <w:sz w:val="23"/>
          <w:szCs w:val="23"/>
        </w:rPr>
        <w:t xml:space="preserve">Cuando se estime pertinente, al concluir 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>la recepción de comentarios y valorados por la</w:t>
      </w:r>
      <w:r w:rsid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dependencia impulsora del proyecto, dentro de los </w:t>
      </w:r>
      <w:r w:rsidRPr="00517CF6">
        <w:rPr>
          <w:rFonts w:cs="Arial"/>
          <w:bCs/>
          <w:color w:val="000000" w:themeColor="text1"/>
          <w:sz w:val="23"/>
          <w:szCs w:val="23"/>
        </w:rPr>
        <w:t>diez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 (1</w:t>
      </w:r>
      <w:r w:rsidRPr="00517CF6">
        <w:rPr>
          <w:rFonts w:cs="Arial"/>
          <w:bCs/>
          <w:color w:val="000000" w:themeColor="text1"/>
          <w:sz w:val="23"/>
          <w:szCs w:val="23"/>
        </w:rPr>
        <w:t>0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) días siguientes, </w:t>
      </w:r>
      <w:r w:rsidRPr="00517CF6">
        <w:rPr>
          <w:rFonts w:cs="Arial"/>
          <w:bCs/>
          <w:color w:val="000000" w:themeColor="text1"/>
          <w:sz w:val="23"/>
          <w:szCs w:val="23"/>
        </w:rPr>
        <w:t>se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 podrá citar </w:t>
      </w:r>
      <w:r w:rsidRPr="00517CF6">
        <w:rPr>
          <w:rFonts w:cs="Arial"/>
          <w:bCs/>
          <w:color w:val="000000" w:themeColor="text1"/>
          <w:sz w:val="23"/>
          <w:szCs w:val="23"/>
        </w:rPr>
        <w:t>con el fin de</w:t>
      </w:r>
      <w:r w:rsidR="00102895" w:rsidRPr="00517CF6">
        <w:rPr>
          <w:rFonts w:cs="Arial"/>
          <w:bCs/>
          <w:color w:val="000000" w:themeColor="text1"/>
          <w:sz w:val="23"/>
          <w:szCs w:val="23"/>
        </w:rPr>
        <w:t xml:space="preserve"> desarrollar un evento de discusión pública sobre los comentarios remitidos por los interesados</w:t>
      </w:r>
      <w:r w:rsidR="00132D4B" w:rsidRPr="00517CF6">
        <w:rPr>
          <w:rFonts w:cs="Arial"/>
          <w:bCs/>
          <w:color w:val="000000" w:themeColor="text1"/>
          <w:sz w:val="23"/>
          <w:szCs w:val="23"/>
        </w:rPr>
        <w:t>.</w:t>
      </w:r>
    </w:p>
    <w:p w14:paraId="16F41289" w14:textId="77777777" w:rsidR="00132D4B" w:rsidRPr="00517CF6" w:rsidRDefault="00132D4B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42B8E488" w14:textId="1F65BB9F" w:rsidR="00102895" w:rsidRPr="00517CF6" w:rsidRDefault="00102895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  <w:r w:rsidRPr="00517CF6">
        <w:rPr>
          <w:rFonts w:cs="Arial"/>
          <w:bCs/>
          <w:color w:val="000000" w:themeColor="text1"/>
          <w:sz w:val="23"/>
          <w:szCs w:val="23"/>
        </w:rPr>
        <w:t xml:space="preserve">No </w:t>
      </w:r>
      <w:r w:rsidR="00517CF6" w:rsidRPr="00517CF6">
        <w:rPr>
          <w:rFonts w:cs="Arial"/>
          <w:bCs/>
          <w:color w:val="000000" w:themeColor="text1"/>
          <w:sz w:val="23"/>
          <w:szCs w:val="23"/>
        </w:rPr>
        <w:t>obstante,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la recepción de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 xml:space="preserve"> observaciones, sugerencias y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comentarios y la valoración de los mismos, en ningún caso implican la obligación de acogerlos. El Ministerio de </w:t>
      </w:r>
      <w:r w:rsidR="00C226E6" w:rsidRPr="00517CF6">
        <w:rPr>
          <w:rFonts w:cs="Arial"/>
          <w:bCs/>
          <w:color w:val="000000" w:themeColor="text1"/>
          <w:sz w:val="23"/>
          <w:szCs w:val="23"/>
        </w:rPr>
        <w:t>Educación Nacional</w:t>
      </w:r>
      <w:r w:rsidRPr="00517CF6">
        <w:rPr>
          <w:rFonts w:cs="Arial"/>
          <w:bCs/>
          <w:color w:val="000000" w:themeColor="text1"/>
          <w:sz w:val="23"/>
          <w:szCs w:val="23"/>
        </w:rPr>
        <w:t>, de acuerdo con el numeral 8</w:t>
      </w:r>
      <w:r w:rsidR="00267F0C" w:rsidRPr="00517CF6">
        <w:rPr>
          <w:rFonts w:cs="Arial"/>
          <w:bCs/>
          <w:color w:val="000000" w:themeColor="text1"/>
          <w:sz w:val="23"/>
          <w:szCs w:val="23"/>
        </w:rPr>
        <w:t>º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 del artículo 8 de la Ley 1437 de 2011</w:t>
      </w:r>
      <w:r w:rsidR="00132D4B"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="00C226E6" w:rsidRPr="00517CF6">
        <w:rPr>
          <w:rFonts w:cs="Arial"/>
          <w:bCs/>
          <w:color w:val="000000" w:themeColor="text1"/>
          <w:sz w:val="23"/>
          <w:szCs w:val="23"/>
        </w:rPr>
        <w:t xml:space="preserve">decidirá la pertinencia de acogerlas </w:t>
      </w:r>
      <w:r w:rsidRPr="00517CF6">
        <w:rPr>
          <w:rFonts w:cs="Arial"/>
          <w:bCs/>
          <w:color w:val="000000" w:themeColor="text1"/>
          <w:sz w:val="23"/>
          <w:szCs w:val="23"/>
        </w:rPr>
        <w:t xml:space="preserve">de acuerdo con el </w:t>
      </w:r>
      <w:r w:rsidR="00C226E6" w:rsidRPr="00517CF6">
        <w:rPr>
          <w:rFonts w:cs="Arial"/>
          <w:bCs/>
          <w:color w:val="000000" w:themeColor="text1"/>
          <w:sz w:val="23"/>
          <w:szCs w:val="23"/>
        </w:rPr>
        <w:t>contenido de</w:t>
      </w:r>
      <w:r w:rsidR="00132D4B" w:rsidRPr="00517CF6">
        <w:rPr>
          <w:rFonts w:cs="Arial"/>
          <w:bCs/>
          <w:color w:val="000000" w:themeColor="text1"/>
          <w:sz w:val="23"/>
          <w:szCs w:val="23"/>
        </w:rPr>
        <w:t xml:space="preserve"> </w:t>
      </w:r>
      <w:r w:rsidR="00C226E6" w:rsidRPr="00517CF6">
        <w:rPr>
          <w:rFonts w:cs="Arial"/>
          <w:bCs/>
          <w:color w:val="000000" w:themeColor="text1"/>
          <w:sz w:val="23"/>
          <w:szCs w:val="23"/>
        </w:rPr>
        <w:t xml:space="preserve">la regulación atendiendo siempre el </w:t>
      </w:r>
      <w:r w:rsidRPr="00517CF6">
        <w:rPr>
          <w:rFonts w:cs="Arial"/>
          <w:bCs/>
          <w:color w:val="000000" w:themeColor="text1"/>
          <w:sz w:val="23"/>
          <w:szCs w:val="23"/>
        </w:rPr>
        <w:t>interés general.</w:t>
      </w:r>
    </w:p>
    <w:p w14:paraId="4A241DC8" w14:textId="77777777" w:rsidR="00102895" w:rsidRPr="00517CF6" w:rsidRDefault="00102895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000000" w:themeColor="text1"/>
          <w:sz w:val="23"/>
          <w:szCs w:val="23"/>
        </w:rPr>
      </w:pPr>
    </w:p>
    <w:p w14:paraId="798C872A" w14:textId="1D8C2AD5" w:rsidR="00102895" w:rsidRPr="00517CF6" w:rsidRDefault="00102895" w:rsidP="00517CF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cs="Arial"/>
          <w:bCs/>
          <w:color w:val="FF0000"/>
          <w:sz w:val="23"/>
          <w:szCs w:val="23"/>
        </w:rPr>
      </w:pP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Artículo </w:t>
      </w:r>
      <w:r w:rsidR="00743187" w:rsidRPr="00517CF6">
        <w:rPr>
          <w:rFonts w:cs="Arial"/>
          <w:b/>
          <w:bCs/>
          <w:color w:val="000000" w:themeColor="text1"/>
          <w:sz w:val="23"/>
          <w:szCs w:val="23"/>
        </w:rPr>
        <w:t>7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Pr="00517CF6">
        <w:rPr>
          <w:rFonts w:cs="Arial"/>
          <w:b/>
          <w:bCs/>
          <w:i/>
          <w:color w:val="000000" w:themeColor="text1"/>
          <w:sz w:val="23"/>
          <w:szCs w:val="23"/>
        </w:rPr>
        <w:t>Vigencia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. </w:t>
      </w:r>
      <w:r w:rsidRPr="00517CF6">
        <w:rPr>
          <w:rFonts w:cs="Arial"/>
          <w:bCs/>
          <w:color w:val="000000" w:themeColor="text1"/>
          <w:sz w:val="23"/>
          <w:szCs w:val="23"/>
        </w:rPr>
        <w:t>La presente</w:t>
      </w:r>
      <w:r w:rsidRPr="00517CF6">
        <w:rPr>
          <w:rFonts w:cs="Arial"/>
          <w:b/>
          <w:bCs/>
          <w:color w:val="000000" w:themeColor="text1"/>
          <w:sz w:val="23"/>
          <w:szCs w:val="23"/>
        </w:rPr>
        <w:t xml:space="preserve"> </w:t>
      </w:r>
      <w:r w:rsidR="00180AC0" w:rsidRPr="00517CF6">
        <w:rPr>
          <w:rFonts w:cs="Arial"/>
          <w:bCs/>
          <w:color w:val="000000" w:themeColor="text1"/>
          <w:sz w:val="23"/>
          <w:szCs w:val="23"/>
        </w:rPr>
        <w:t>r</w:t>
      </w:r>
      <w:r w:rsidRPr="00517CF6">
        <w:rPr>
          <w:rFonts w:cs="Arial"/>
          <w:bCs/>
          <w:color w:val="000000" w:themeColor="text1"/>
          <w:sz w:val="23"/>
          <w:szCs w:val="23"/>
        </w:rPr>
        <w:t>esolución rige a partir de la fecha de su publicación.</w:t>
      </w:r>
      <w:r w:rsidRPr="00517CF6">
        <w:rPr>
          <w:rFonts w:cs="Arial"/>
          <w:bCs/>
          <w:color w:val="FF0000"/>
          <w:sz w:val="23"/>
          <w:szCs w:val="23"/>
        </w:rPr>
        <w:t xml:space="preserve"> </w:t>
      </w:r>
    </w:p>
    <w:p w14:paraId="35410A41" w14:textId="77777777" w:rsidR="00E201D7" w:rsidRPr="00517CF6" w:rsidRDefault="00E201D7" w:rsidP="00517CF6">
      <w:pPr>
        <w:ind w:left="142" w:right="165"/>
        <w:jc w:val="center"/>
        <w:rPr>
          <w:rFonts w:cs="Arial"/>
          <w:b/>
          <w:bCs/>
          <w:color w:val="FF0000"/>
          <w:sz w:val="23"/>
          <w:szCs w:val="23"/>
        </w:rPr>
      </w:pPr>
    </w:p>
    <w:p w14:paraId="6F2BE89A" w14:textId="77777777" w:rsidR="00032E5B" w:rsidRPr="00517CF6" w:rsidRDefault="00032E5B" w:rsidP="00517CF6">
      <w:pPr>
        <w:ind w:left="142" w:right="165"/>
        <w:jc w:val="center"/>
        <w:rPr>
          <w:rFonts w:cs="Arial"/>
          <w:b/>
          <w:bCs/>
          <w:sz w:val="23"/>
          <w:szCs w:val="23"/>
        </w:rPr>
      </w:pPr>
    </w:p>
    <w:p w14:paraId="1B33333C" w14:textId="2C77CC84" w:rsidR="00102895" w:rsidRPr="00517CF6" w:rsidRDefault="00102895" w:rsidP="00517CF6">
      <w:pPr>
        <w:ind w:left="142" w:right="165"/>
        <w:jc w:val="center"/>
        <w:rPr>
          <w:rFonts w:cs="Arial"/>
          <w:b/>
          <w:bCs/>
          <w:sz w:val="23"/>
          <w:szCs w:val="23"/>
        </w:rPr>
      </w:pPr>
      <w:r w:rsidRPr="00517CF6">
        <w:rPr>
          <w:rFonts w:cs="Arial"/>
          <w:b/>
          <w:bCs/>
          <w:sz w:val="23"/>
          <w:szCs w:val="23"/>
        </w:rPr>
        <w:t>PUBLÍQUESE Y CÚMPLASE</w:t>
      </w:r>
    </w:p>
    <w:p w14:paraId="1641538D" w14:textId="77777777" w:rsidR="00743187" w:rsidRPr="00517CF6" w:rsidRDefault="00743187" w:rsidP="00517CF6">
      <w:pPr>
        <w:ind w:right="165"/>
        <w:rPr>
          <w:rFonts w:cs="Arial"/>
          <w:sz w:val="23"/>
          <w:szCs w:val="23"/>
        </w:rPr>
      </w:pPr>
    </w:p>
    <w:p w14:paraId="632EF806" w14:textId="77777777" w:rsidR="00743187" w:rsidRPr="00517CF6" w:rsidRDefault="00743187" w:rsidP="00517CF6">
      <w:pPr>
        <w:ind w:right="165"/>
        <w:rPr>
          <w:rFonts w:cs="Arial"/>
          <w:sz w:val="23"/>
          <w:szCs w:val="23"/>
        </w:rPr>
      </w:pPr>
    </w:p>
    <w:p w14:paraId="1BEDFA0A" w14:textId="77777777" w:rsidR="00743187" w:rsidRPr="00517CF6" w:rsidRDefault="00102895" w:rsidP="00517CF6">
      <w:pPr>
        <w:ind w:right="165"/>
        <w:rPr>
          <w:rFonts w:cs="Arial"/>
          <w:sz w:val="23"/>
          <w:szCs w:val="23"/>
        </w:rPr>
      </w:pPr>
      <w:r w:rsidRPr="00517CF6">
        <w:rPr>
          <w:rFonts w:cs="Arial"/>
          <w:sz w:val="23"/>
          <w:szCs w:val="23"/>
        </w:rPr>
        <w:t>Dada en Bogotá D.C., a los</w:t>
      </w:r>
      <w:r w:rsidR="00743187" w:rsidRPr="00517CF6">
        <w:rPr>
          <w:rFonts w:cs="Arial"/>
          <w:sz w:val="23"/>
          <w:szCs w:val="23"/>
        </w:rPr>
        <w:t>,</w:t>
      </w:r>
    </w:p>
    <w:p w14:paraId="139E0EC7" w14:textId="77777777" w:rsidR="00743187" w:rsidRPr="00517CF6" w:rsidRDefault="00743187" w:rsidP="00517CF6">
      <w:pPr>
        <w:ind w:right="165"/>
        <w:rPr>
          <w:rFonts w:cs="Arial"/>
          <w:sz w:val="23"/>
          <w:szCs w:val="23"/>
        </w:rPr>
      </w:pPr>
    </w:p>
    <w:p w14:paraId="4FDC15E6" w14:textId="77777777" w:rsidR="00132D4B" w:rsidRPr="00517CF6" w:rsidRDefault="00132D4B" w:rsidP="00517CF6">
      <w:pPr>
        <w:ind w:right="165"/>
        <w:rPr>
          <w:rFonts w:cs="Arial"/>
          <w:sz w:val="23"/>
          <w:szCs w:val="23"/>
        </w:rPr>
      </w:pPr>
    </w:p>
    <w:p w14:paraId="540B97C1" w14:textId="77777777" w:rsidR="00743187" w:rsidRPr="00517CF6" w:rsidRDefault="00743187" w:rsidP="00517CF6">
      <w:pPr>
        <w:ind w:right="165"/>
        <w:rPr>
          <w:rFonts w:cs="Arial"/>
          <w:sz w:val="23"/>
          <w:szCs w:val="23"/>
        </w:rPr>
      </w:pPr>
    </w:p>
    <w:p w14:paraId="5BC99F4D" w14:textId="77777777" w:rsidR="00C66A84" w:rsidRPr="00517CF6" w:rsidRDefault="00C66A84" w:rsidP="00517CF6">
      <w:pPr>
        <w:ind w:right="165"/>
        <w:jc w:val="both"/>
        <w:rPr>
          <w:rFonts w:cs="Arial"/>
          <w:sz w:val="23"/>
          <w:szCs w:val="23"/>
        </w:rPr>
      </w:pPr>
      <w:r w:rsidRPr="00517CF6">
        <w:rPr>
          <w:rFonts w:cs="Arial"/>
          <w:b/>
          <w:sz w:val="23"/>
          <w:szCs w:val="23"/>
        </w:rPr>
        <w:t>LA</w:t>
      </w:r>
      <w:r w:rsidR="00AD0DCC" w:rsidRPr="00517CF6">
        <w:rPr>
          <w:rFonts w:cs="Arial"/>
          <w:b/>
          <w:sz w:val="23"/>
          <w:szCs w:val="23"/>
        </w:rPr>
        <w:t xml:space="preserve"> </w:t>
      </w:r>
      <w:r w:rsidRPr="00517CF6">
        <w:rPr>
          <w:rFonts w:cs="Arial"/>
          <w:b/>
          <w:sz w:val="23"/>
          <w:szCs w:val="23"/>
        </w:rPr>
        <w:t>MINISTRA DE EDUCACIÓN NACIONAL</w:t>
      </w:r>
    </w:p>
    <w:p w14:paraId="60F14528" w14:textId="77777777" w:rsidR="00C66A84" w:rsidRPr="00517CF6" w:rsidRDefault="00C66A84" w:rsidP="00517CF6">
      <w:pPr>
        <w:rPr>
          <w:rFonts w:cs="Arial"/>
          <w:b/>
          <w:sz w:val="23"/>
          <w:szCs w:val="23"/>
        </w:rPr>
      </w:pPr>
    </w:p>
    <w:p w14:paraId="22F6F6DC" w14:textId="77777777" w:rsidR="00C66A84" w:rsidRPr="00517CF6" w:rsidRDefault="00C66A84" w:rsidP="00517CF6">
      <w:pPr>
        <w:rPr>
          <w:rFonts w:cs="Arial"/>
          <w:b/>
          <w:sz w:val="23"/>
          <w:szCs w:val="23"/>
        </w:rPr>
      </w:pPr>
    </w:p>
    <w:p w14:paraId="77691BE7" w14:textId="77777777" w:rsidR="00C66A84" w:rsidRPr="00517CF6" w:rsidRDefault="00C66A84" w:rsidP="00517CF6">
      <w:pPr>
        <w:rPr>
          <w:rFonts w:cs="Arial"/>
          <w:b/>
          <w:sz w:val="23"/>
          <w:szCs w:val="23"/>
        </w:rPr>
      </w:pPr>
    </w:p>
    <w:p w14:paraId="16605FC9" w14:textId="77777777" w:rsidR="004E19C1" w:rsidRPr="00517CF6" w:rsidRDefault="004E19C1" w:rsidP="00517CF6">
      <w:pPr>
        <w:rPr>
          <w:rFonts w:cs="Arial"/>
          <w:b/>
          <w:sz w:val="23"/>
          <w:szCs w:val="23"/>
        </w:rPr>
      </w:pPr>
    </w:p>
    <w:p w14:paraId="0A476708" w14:textId="77777777" w:rsidR="00AE58C6" w:rsidRPr="00517CF6" w:rsidRDefault="00AE58C6" w:rsidP="00517CF6">
      <w:pPr>
        <w:rPr>
          <w:rFonts w:cs="Arial"/>
          <w:b/>
          <w:sz w:val="23"/>
          <w:szCs w:val="23"/>
        </w:rPr>
      </w:pPr>
    </w:p>
    <w:p w14:paraId="70485C8B" w14:textId="77777777" w:rsidR="00C66A84" w:rsidRPr="00517CF6" w:rsidRDefault="00C66A84" w:rsidP="00517CF6">
      <w:pPr>
        <w:jc w:val="right"/>
        <w:rPr>
          <w:rFonts w:cs="Arial"/>
          <w:b/>
          <w:sz w:val="23"/>
          <w:szCs w:val="23"/>
        </w:rPr>
      </w:pPr>
      <w:r w:rsidRPr="00517CF6">
        <w:rPr>
          <w:rFonts w:cs="Arial"/>
          <w:b/>
          <w:sz w:val="23"/>
          <w:szCs w:val="23"/>
        </w:rPr>
        <w:tab/>
      </w:r>
      <w:r w:rsidRPr="00517CF6">
        <w:rPr>
          <w:rFonts w:cs="Arial"/>
          <w:b/>
          <w:sz w:val="23"/>
          <w:szCs w:val="23"/>
        </w:rPr>
        <w:tab/>
      </w:r>
      <w:r w:rsidRPr="00517CF6">
        <w:rPr>
          <w:rFonts w:cs="Arial"/>
          <w:b/>
          <w:sz w:val="23"/>
          <w:szCs w:val="23"/>
        </w:rPr>
        <w:tab/>
      </w:r>
      <w:r w:rsidRPr="00517CF6">
        <w:rPr>
          <w:rFonts w:cs="Arial"/>
          <w:b/>
          <w:sz w:val="23"/>
          <w:szCs w:val="23"/>
        </w:rPr>
        <w:tab/>
      </w:r>
      <w:r w:rsidR="00A14663" w:rsidRPr="00517CF6">
        <w:rPr>
          <w:rFonts w:cs="Arial"/>
          <w:b/>
          <w:sz w:val="23"/>
          <w:szCs w:val="23"/>
        </w:rPr>
        <w:t>YANET GI</w:t>
      </w:r>
      <w:r w:rsidR="0047303C" w:rsidRPr="00517CF6">
        <w:rPr>
          <w:rFonts w:cs="Arial"/>
          <w:b/>
          <w:sz w:val="23"/>
          <w:szCs w:val="23"/>
        </w:rPr>
        <w:t>H</w:t>
      </w:r>
      <w:r w:rsidR="00A14663" w:rsidRPr="00517CF6">
        <w:rPr>
          <w:rFonts w:cs="Arial"/>
          <w:b/>
          <w:sz w:val="23"/>
          <w:szCs w:val="23"/>
        </w:rPr>
        <w:t>A TOVAR</w:t>
      </w:r>
    </w:p>
    <w:p w14:paraId="23133B02" w14:textId="77777777" w:rsidR="00AE58C6" w:rsidRPr="00517CF6" w:rsidRDefault="00AE58C6" w:rsidP="00517CF6">
      <w:pPr>
        <w:autoSpaceDE w:val="0"/>
        <w:autoSpaceDN w:val="0"/>
        <w:adjustRightInd w:val="0"/>
        <w:rPr>
          <w:rFonts w:cs="Arial"/>
          <w:b/>
          <w:sz w:val="23"/>
          <w:szCs w:val="23"/>
        </w:rPr>
      </w:pPr>
    </w:p>
    <w:p w14:paraId="33CB6E9B" w14:textId="77777777" w:rsidR="00AE58C6" w:rsidRPr="00517CF6" w:rsidRDefault="00AE58C6" w:rsidP="00517CF6">
      <w:pPr>
        <w:autoSpaceDE w:val="0"/>
        <w:autoSpaceDN w:val="0"/>
        <w:adjustRightInd w:val="0"/>
        <w:rPr>
          <w:rFonts w:cs="Arial"/>
          <w:b/>
          <w:sz w:val="23"/>
          <w:szCs w:val="23"/>
        </w:rPr>
      </w:pPr>
    </w:p>
    <w:p w14:paraId="1E5EF099" w14:textId="77777777" w:rsidR="00420FF9" w:rsidRPr="00517CF6" w:rsidRDefault="00420FF9" w:rsidP="00517CF6">
      <w:pPr>
        <w:autoSpaceDE w:val="0"/>
        <w:autoSpaceDN w:val="0"/>
        <w:adjustRightInd w:val="0"/>
        <w:rPr>
          <w:rFonts w:eastAsia="Calibri" w:cs="Arial"/>
          <w:sz w:val="16"/>
          <w:szCs w:val="16"/>
          <w:lang w:val="es-CO" w:eastAsia="es-CO"/>
        </w:rPr>
      </w:pPr>
      <w:r w:rsidRPr="00517CF6">
        <w:rPr>
          <w:rFonts w:eastAsia="Calibri" w:cs="Arial"/>
          <w:sz w:val="16"/>
          <w:szCs w:val="16"/>
          <w:lang w:val="es-CO" w:eastAsia="es-CO"/>
        </w:rPr>
        <w:t>Aprobó:</w:t>
      </w:r>
      <w:r w:rsidRPr="00517CF6">
        <w:rPr>
          <w:rFonts w:eastAsia="Calibri" w:cs="Arial"/>
          <w:sz w:val="16"/>
          <w:szCs w:val="16"/>
          <w:lang w:val="es-CO" w:eastAsia="es-CO"/>
        </w:rPr>
        <w:tab/>
        <w:t>Martha Lucía Trujillo Calderón – Jefe de la Oficina Asesora Jurídica</w:t>
      </w:r>
    </w:p>
    <w:p w14:paraId="3B40F194" w14:textId="77777777" w:rsidR="00420FF9" w:rsidRPr="00517CF6" w:rsidRDefault="00420FF9" w:rsidP="00517CF6">
      <w:pPr>
        <w:autoSpaceDE w:val="0"/>
        <w:autoSpaceDN w:val="0"/>
        <w:adjustRightInd w:val="0"/>
        <w:rPr>
          <w:rFonts w:eastAsia="Calibri" w:cs="Arial"/>
          <w:sz w:val="16"/>
          <w:szCs w:val="16"/>
          <w:lang w:val="es-CO" w:eastAsia="es-CO"/>
        </w:rPr>
      </w:pPr>
      <w:r w:rsidRPr="00517CF6">
        <w:rPr>
          <w:rFonts w:eastAsia="Calibri" w:cs="Arial"/>
          <w:sz w:val="16"/>
          <w:szCs w:val="16"/>
          <w:lang w:val="es-CO" w:eastAsia="es-CO"/>
        </w:rPr>
        <w:t>Revisó:</w:t>
      </w:r>
      <w:r w:rsidRPr="00517CF6">
        <w:rPr>
          <w:rFonts w:eastAsia="Calibri" w:cs="Arial"/>
          <w:sz w:val="16"/>
          <w:szCs w:val="16"/>
          <w:lang w:val="es-CO" w:eastAsia="es-CO"/>
        </w:rPr>
        <w:tab/>
      </w:r>
      <w:r w:rsidR="00743187" w:rsidRPr="00517CF6">
        <w:rPr>
          <w:rFonts w:eastAsia="Calibri" w:cs="Arial"/>
          <w:sz w:val="16"/>
          <w:szCs w:val="16"/>
          <w:lang w:val="es-CO" w:eastAsia="es-CO"/>
        </w:rPr>
        <w:t>Jairo Valencia</w:t>
      </w:r>
      <w:r w:rsidRPr="00517CF6">
        <w:rPr>
          <w:rFonts w:eastAsia="Calibri" w:cs="Arial"/>
          <w:sz w:val="16"/>
          <w:szCs w:val="16"/>
          <w:lang w:val="es-CO" w:eastAsia="es-CO"/>
        </w:rPr>
        <w:t xml:space="preserve"> – </w:t>
      </w:r>
      <w:r w:rsidR="00743187" w:rsidRPr="00517CF6">
        <w:rPr>
          <w:rFonts w:eastAsia="Calibri" w:cs="Arial"/>
          <w:sz w:val="16"/>
          <w:szCs w:val="16"/>
          <w:lang w:val="es-CO" w:eastAsia="es-CO"/>
        </w:rPr>
        <w:t>Grupo de Normatividad Oficina Asesora Jurídica</w:t>
      </w:r>
    </w:p>
    <w:p w14:paraId="6EA14932" w14:textId="2013AA25" w:rsidR="00420FF9" w:rsidRPr="00517CF6" w:rsidRDefault="00420FF9" w:rsidP="00517CF6">
      <w:pPr>
        <w:autoSpaceDE w:val="0"/>
        <w:autoSpaceDN w:val="0"/>
        <w:adjustRightInd w:val="0"/>
        <w:rPr>
          <w:rFonts w:cs="Arial"/>
          <w:b/>
          <w:sz w:val="23"/>
          <w:szCs w:val="23"/>
          <w:lang w:val="es-CO"/>
        </w:rPr>
      </w:pPr>
      <w:r w:rsidRPr="00517CF6">
        <w:rPr>
          <w:rFonts w:eastAsia="Calibri" w:cs="Arial"/>
          <w:sz w:val="16"/>
          <w:szCs w:val="16"/>
          <w:lang w:val="es-CO" w:eastAsia="es-CO"/>
        </w:rPr>
        <w:t>Proyectó</w:t>
      </w:r>
      <w:r w:rsidR="00032E5B" w:rsidRPr="00517CF6">
        <w:rPr>
          <w:rFonts w:eastAsia="Calibri" w:cs="Arial"/>
          <w:sz w:val="16"/>
          <w:szCs w:val="16"/>
          <w:lang w:val="es-CO" w:eastAsia="es-CO"/>
        </w:rPr>
        <w:t xml:space="preserve">: </w:t>
      </w:r>
      <w:r w:rsidR="00743187" w:rsidRPr="00517CF6">
        <w:rPr>
          <w:rFonts w:eastAsia="Calibri" w:cs="Arial"/>
          <w:sz w:val="16"/>
          <w:szCs w:val="16"/>
          <w:lang w:val="es-CO" w:eastAsia="es-CO"/>
        </w:rPr>
        <w:t xml:space="preserve">Silvio Rosero  </w:t>
      </w:r>
      <w:r w:rsidRPr="00517CF6">
        <w:rPr>
          <w:rFonts w:eastAsia="Calibri" w:cs="Arial"/>
          <w:sz w:val="16"/>
          <w:szCs w:val="16"/>
          <w:lang w:val="es-CO" w:eastAsia="es-CO"/>
        </w:rPr>
        <w:t xml:space="preserve">– </w:t>
      </w:r>
      <w:r w:rsidR="00743187" w:rsidRPr="00517CF6">
        <w:rPr>
          <w:rFonts w:eastAsia="Calibri" w:cs="Arial"/>
          <w:sz w:val="16"/>
          <w:szCs w:val="16"/>
          <w:lang w:val="es-CO" w:eastAsia="es-CO"/>
        </w:rPr>
        <w:t>Grupo de Normatividad Oficina Asesora Jurídica</w:t>
      </w:r>
    </w:p>
    <w:sectPr w:rsidR="00420FF9" w:rsidRPr="00517CF6" w:rsidSect="00517CF6">
      <w:headerReference w:type="default" r:id="rId8"/>
      <w:headerReference w:type="first" r:id="rId9"/>
      <w:footerReference w:type="first" r:id="rId10"/>
      <w:pgSz w:w="12242" w:h="20163" w:code="5"/>
      <w:pgMar w:top="1701" w:right="1134" w:bottom="1701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9C1DD" w14:textId="77777777" w:rsidR="005065F4" w:rsidRDefault="005065F4">
      <w:r>
        <w:separator/>
      </w:r>
    </w:p>
  </w:endnote>
  <w:endnote w:type="continuationSeparator" w:id="0">
    <w:p w14:paraId="6BBA8AE9" w14:textId="77777777" w:rsidR="005065F4" w:rsidRDefault="0050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7F1E" w14:textId="77777777" w:rsidR="000160B2" w:rsidRDefault="00D26EBA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425B9F5" wp14:editId="57BD9DC2">
              <wp:simplePos x="0" y="0"/>
              <wp:positionH relativeFrom="column">
                <wp:posOffset>-333375</wp:posOffset>
              </wp:positionH>
              <wp:positionV relativeFrom="paragraph">
                <wp:posOffset>-215265</wp:posOffset>
              </wp:positionV>
              <wp:extent cx="6505575" cy="0"/>
              <wp:effectExtent l="0" t="0" r="28575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194D9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-16.95pt" to="486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hs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84BAB" w14:textId="77777777" w:rsidR="005065F4" w:rsidRDefault="005065F4">
      <w:r>
        <w:separator/>
      </w:r>
    </w:p>
  </w:footnote>
  <w:footnote w:type="continuationSeparator" w:id="0">
    <w:p w14:paraId="34AE49D4" w14:textId="77777777" w:rsidR="005065F4" w:rsidRDefault="00506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42A74" w14:textId="700A3413" w:rsidR="000E6747" w:rsidRPr="00517CF6" w:rsidRDefault="000160B2" w:rsidP="00102895">
    <w:pPr>
      <w:pStyle w:val="Encabezado"/>
      <w:jc w:val="center"/>
      <w:rPr>
        <w:b/>
        <w:sz w:val="20"/>
      </w:rPr>
    </w:pPr>
    <w:r w:rsidRPr="00517CF6">
      <w:rPr>
        <w:b/>
        <w:sz w:val="20"/>
      </w:rPr>
      <w:t xml:space="preserve">RESOLUCIÓN </w:t>
    </w:r>
    <w:r w:rsidR="00032E5B" w:rsidRPr="00517CF6">
      <w:rPr>
        <w:b/>
        <w:sz w:val="20"/>
      </w:rPr>
      <w:t>N</w:t>
    </w:r>
    <w:r w:rsidR="00032E5B" w:rsidRPr="00517CF6">
      <w:rPr>
        <w:b/>
        <w:sz w:val="20"/>
      </w:rPr>
      <w:t>Ú</w:t>
    </w:r>
    <w:r w:rsidR="00032E5B" w:rsidRPr="00517CF6">
      <w:rPr>
        <w:b/>
        <w:sz w:val="20"/>
      </w:rPr>
      <w:t xml:space="preserve">MERO              </w:t>
    </w:r>
    <w:r w:rsidR="0010020E">
      <w:rPr>
        <w:b/>
        <w:sz w:val="20"/>
      </w:rPr>
      <w:t xml:space="preserve">                       </w:t>
    </w:r>
    <w:r w:rsidR="00032E5B" w:rsidRPr="00517CF6">
      <w:rPr>
        <w:b/>
        <w:sz w:val="20"/>
      </w:rPr>
      <w:t xml:space="preserve">          </w:t>
    </w:r>
    <w:r w:rsidR="0008088F" w:rsidRPr="00517CF6">
      <w:rPr>
        <w:b/>
        <w:sz w:val="20"/>
      </w:rPr>
      <w:t>DE  201</w:t>
    </w:r>
    <w:r w:rsidR="00194102" w:rsidRPr="00517CF6">
      <w:rPr>
        <w:b/>
        <w:sz w:val="20"/>
      </w:rPr>
      <w:t>7</w:t>
    </w:r>
    <w:r w:rsidRPr="00517CF6">
      <w:rPr>
        <w:b/>
        <w:sz w:val="20"/>
      </w:rPr>
      <w:t xml:space="preserve">         </w:t>
    </w:r>
    <w:r w:rsidR="0010020E">
      <w:rPr>
        <w:b/>
        <w:sz w:val="20"/>
      </w:rPr>
      <w:t xml:space="preserve">      </w:t>
    </w:r>
    <w:r w:rsidRPr="00517CF6">
      <w:rPr>
        <w:b/>
        <w:sz w:val="20"/>
      </w:rPr>
      <w:t xml:space="preserve">     </w:t>
    </w:r>
    <w:r w:rsidR="000E6747" w:rsidRPr="00517CF6">
      <w:rPr>
        <w:b/>
        <w:sz w:val="20"/>
      </w:rPr>
      <w:t xml:space="preserve">        </w:t>
    </w:r>
    <w:r w:rsidR="000E6747" w:rsidRPr="00517CF6">
      <w:rPr>
        <w:b/>
        <w:sz w:val="20"/>
        <w:lang w:val="pt-BR"/>
      </w:rPr>
      <w:t xml:space="preserve">Hoja N°. </w:t>
    </w:r>
    <w:r w:rsidR="000E6747" w:rsidRPr="00517CF6">
      <w:rPr>
        <w:b/>
        <w:sz w:val="20"/>
      </w:rPr>
      <w:fldChar w:fldCharType="begin"/>
    </w:r>
    <w:r w:rsidR="000E6747" w:rsidRPr="00517CF6">
      <w:rPr>
        <w:b/>
        <w:sz w:val="20"/>
        <w:lang w:val="pt-BR"/>
      </w:rPr>
      <w:instrText xml:space="preserve"> PAGE </w:instrText>
    </w:r>
    <w:r w:rsidR="000E6747" w:rsidRPr="00517CF6">
      <w:rPr>
        <w:b/>
        <w:sz w:val="20"/>
      </w:rPr>
      <w:fldChar w:fldCharType="separate"/>
    </w:r>
    <w:r w:rsidR="008C1DC4">
      <w:rPr>
        <w:b/>
        <w:noProof/>
        <w:sz w:val="20"/>
        <w:lang w:val="pt-BR"/>
      </w:rPr>
      <w:t>2</w:t>
    </w:r>
    <w:r w:rsidR="000E6747" w:rsidRPr="00517CF6">
      <w:rPr>
        <w:b/>
        <w:sz w:val="20"/>
      </w:rPr>
      <w:fldChar w:fldCharType="end"/>
    </w:r>
  </w:p>
  <w:p w14:paraId="6D4D8FCF" w14:textId="77777777" w:rsidR="000160B2" w:rsidRDefault="00D26EBA" w:rsidP="00102895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53BFE88" wp14:editId="4A95A873">
              <wp:simplePos x="0" y="0"/>
              <wp:positionH relativeFrom="column">
                <wp:posOffset>-331470</wp:posOffset>
              </wp:positionH>
              <wp:positionV relativeFrom="paragraph">
                <wp:posOffset>100965</wp:posOffset>
              </wp:positionV>
              <wp:extent cx="6492240" cy="11376660"/>
              <wp:effectExtent l="0" t="0" r="22860" b="1524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2240" cy="11376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4925C" w14:textId="77777777" w:rsidR="00420FF9" w:rsidRPr="00517CF6" w:rsidRDefault="00420FF9" w:rsidP="00517CF6">
                          <w:pPr>
                            <w:jc w:val="both"/>
                            <w:rPr>
                              <w:rStyle w:val="nfasis"/>
                              <w:sz w:val="18"/>
                              <w:szCs w:val="18"/>
                            </w:rPr>
                          </w:pPr>
                          <w:r w:rsidRPr="00517CF6">
                            <w:rPr>
                              <w:rStyle w:val="nfasis"/>
                              <w:i w:val="0"/>
                              <w:sz w:val="18"/>
                              <w:szCs w:val="18"/>
                            </w:rPr>
                            <w:t>Continuación de la Resolución</w:t>
                          </w:r>
                          <w:r w:rsidRPr="00517CF6">
                            <w:rPr>
                              <w:rStyle w:val="nfasis"/>
                              <w:sz w:val="18"/>
                              <w:szCs w:val="18"/>
                            </w:rPr>
                            <w:t xml:space="preserve"> &lt;&lt;</w:t>
                          </w:r>
                          <w:r w:rsidR="00C96D4C" w:rsidRPr="00517CF6">
                            <w:rPr>
                              <w:rStyle w:val="nfasis"/>
                              <w:sz w:val="18"/>
                              <w:szCs w:val="18"/>
                            </w:rPr>
                            <w:t xml:space="preserve">Por la cual se reglamenta </w:t>
                          </w:r>
                          <w:r w:rsidR="00017A8C" w:rsidRPr="00517CF6">
                            <w:rPr>
                              <w:rStyle w:val="nfasis"/>
                              <w:sz w:val="18"/>
                              <w:szCs w:val="18"/>
                            </w:rPr>
                            <w:t xml:space="preserve">el </w:t>
                          </w:r>
                          <w:r w:rsidR="00C96D4C" w:rsidRPr="00517CF6">
                            <w:rPr>
                              <w:rStyle w:val="nfasis"/>
                              <w:sz w:val="18"/>
                              <w:szCs w:val="18"/>
                            </w:rPr>
                            <w:t>plazo para la publicación de proyectos específicos de regulación que expida el Ministerio de Educación Nacional</w:t>
                          </w:r>
                          <w:r w:rsidRPr="00517CF6">
                            <w:rPr>
                              <w:rStyle w:val="nfasis"/>
                              <w:sz w:val="18"/>
                              <w:szCs w:val="18"/>
                            </w:rPr>
                            <w:t>&gt;&gt;</w:t>
                          </w:r>
                        </w:p>
                        <w:p w14:paraId="645F9821" w14:textId="77777777" w:rsidR="00420FF9" w:rsidRPr="00517CF6" w:rsidRDefault="00420FF9" w:rsidP="00102895">
                          <w:pPr>
                            <w:jc w:val="both"/>
                            <w:rPr>
                              <w:rStyle w:val="nfasis"/>
                              <w:sz w:val="20"/>
                            </w:rPr>
                          </w:pPr>
                          <w:r w:rsidRPr="00517CF6">
                            <w:rPr>
                              <w:rStyle w:val="nfasis"/>
                              <w:sz w:val="20"/>
                            </w:rPr>
                            <w:t>----------------------------------------------------------------------------------------------------------------------------------------------------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BFE88" id="Rectangle 4" o:spid="_x0000_s1026" style="position:absolute;margin-left:-26.1pt;margin-top:7.95pt;width:511.2pt;height:89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" o:allowincell="f" strokeweight="1pt">
              <v:fill opacity="32896f"/>
              <v:textbox>
                <w:txbxContent>
                  <w:p w14:paraId="02B4925C" w14:textId="77777777" w:rsidR="00420FF9" w:rsidRPr="00517CF6" w:rsidRDefault="00420FF9" w:rsidP="00517CF6">
                    <w:pPr>
                      <w:jc w:val="both"/>
                      <w:rPr>
                        <w:rStyle w:val="nfasis"/>
                        <w:sz w:val="18"/>
                        <w:szCs w:val="18"/>
                      </w:rPr>
                    </w:pPr>
                    <w:r w:rsidRPr="00517CF6">
                      <w:rPr>
                        <w:rStyle w:val="nfasis"/>
                        <w:i w:val="0"/>
                        <w:sz w:val="18"/>
                        <w:szCs w:val="18"/>
                      </w:rPr>
                      <w:t>Continuación de la Resolución</w:t>
                    </w:r>
                    <w:r w:rsidRPr="00517CF6">
                      <w:rPr>
                        <w:rStyle w:val="nfasis"/>
                        <w:sz w:val="18"/>
                        <w:szCs w:val="18"/>
                      </w:rPr>
                      <w:t xml:space="preserve"> &lt;&lt;</w:t>
                    </w:r>
                    <w:r w:rsidR="00C96D4C" w:rsidRPr="00517CF6">
                      <w:rPr>
                        <w:rStyle w:val="nfasis"/>
                        <w:sz w:val="18"/>
                        <w:szCs w:val="18"/>
                      </w:rPr>
                      <w:t xml:space="preserve">Por la cual se reglamenta </w:t>
                    </w:r>
                    <w:r w:rsidR="00017A8C" w:rsidRPr="00517CF6">
                      <w:rPr>
                        <w:rStyle w:val="nfasis"/>
                        <w:sz w:val="18"/>
                        <w:szCs w:val="18"/>
                      </w:rPr>
                      <w:t xml:space="preserve">el </w:t>
                    </w:r>
                    <w:r w:rsidR="00C96D4C" w:rsidRPr="00517CF6">
                      <w:rPr>
                        <w:rStyle w:val="nfasis"/>
                        <w:sz w:val="18"/>
                        <w:szCs w:val="18"/>
                      </w:rPr>
                      <w:t>plazo para la publicación de proyectos específicos de regulación que expida el Ministerio de Educación Nacional</w:t>
                    </w:r>
                    <w:r w:rsidRPr="00517CF6">
                      <w:rPr>
                        <w:rStyle w:val="nfasis"/>
                        <w:sz w:val="18"/>
                        <w:szCs w:val="18"/>
                      </w:rPr>
                      <w:t>&gt;&gt;</w:t>
                    </w:r>
                  </w:p>
                  <w:p w14:paraId="645F9821" w14:textId="77777777" w:rsidR="00420FF9" w:rsidRPr="00517CF6" w:rsidRDefault="00420FF9" w:rsidP="00102895">
                    <w:pPr>
                      <w:jc w:val="both"/>
                      <w:rPr>
                        <w:rStyle w:val="nfasis"/>
                        <w:sz w:val="20"/>
                      </w:rPr>
                    </w:pPr>
                    <w:r w:rsidRPr="00517CF6">
                      <w:rPr>
                        <w:rStyle w:val="nfasis"/>
                        <w:sz w:val="20"/>
                      </w:rPr>
                      <w:t>----------------------------------------------------------------------------------------------------------------------------------------------------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231C" w14:textId="77777777" w:rsidR="00D422A8" w:rsidRDefault="00D422A8" w:rsidP="001703E1">
    <w:pPr>
      <w:pStyle w:val="Encabezado"/>
      <w:spacing w:line="240" w:lineRule="exact"/>
      <w:jc w:val="center"/>
      <w:rPr>
        <w:b/>
        <w:noProof/>
        <w:szCs w:val="24"/>
      </w:rPr>
    </w:pPr>
  </w:p>
  <w:p w14:paraId="486D17DF" w14:textId="77777777" w:rsidR="000160B2" w:rsidRPr="00102895" w:rsidRDefault="000160B2" w:rsidP="001703E1">
    <w:pPr>
      <w:pStyle w:val="Encabezado"/>
      <w:spacing w:line="240" w:lineRule="exact"/>
      <w:jc w:val="center"/>
      <w:rPr>
        <w:b/>
        <w:szCs w:val="24"/>
      </w:rPr>
    </w:pPr>
    <w:r w:rsidRPr="00102895">
      <w:rPr>
        <w:b/>
        <w:noProof/>
        <w:szCs w:val="24"/>
      </w:rPr>
      <w:t>REP</w:t>
    </w:r>
    <w:r w:rsidR="00E322EE">
      <w:rPr>
        <w:b/>
        <w:noProof/>
        <w:szCs w:val="24"/>
      </w:rPr>
      <w:t>Ú</w:t>
    </w:r>
    <w:r w:rsidRPr="00102895">
      <w:rPr>
        <w:b/>
        <w:noProof/>
        <w:szCs w:val="24"/>
      </w:rPr>
      <w:t>BLICA DE COLOMBIA</w:t>
    </w:r>
  </w:p>
  <w:p w14:paraId="1C39A386" w14:textId="77777777" w:rsidR="000160B2" w:rsidRPr="001703E1" w:rsidRDefault="005065F4">
    <w:pPr>
      <w:pStyle w:val="Encabezado"/>
      <w:spacing w:line="240" w:lineRule="exact"/>
      <w:rPr>
        <w:szCs w:val="24"/>
      </w:rPr>
    </w:pPr>
    <w:r>
      <w:rPr>
        <w:noProof/>
        <w:szCs w:val="24"/>
      </w:rPr>
      <w:object w:dxaOrig="1440" w:dyaOrig="1440" w14:anchorId="314E1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15.75pt;margin-top:12.05pt;width:46pt;height:57pt;z-index:251656704;visibility:visible;mso-wrap-edited:f" o:allowincell="f" fillcolor="window">
          <v:imagedata r:id="rId1" o:title=""/>
        </v:shape>
        <o:OLEObject Type="Embed" ProgID="Word.Picture.8" ShapeID="_x0000_s2051" DrawAspect="Content" ObjectID="_1553496203" r:id="rId2"/>
      </w:object>
    </w:r>
  </w:p>
  <w:p w14:paraId="6A431987" w14:textId="471BA1AA" w:rsidR="000160B2" w:rsidRPr="001703E1" w:rsidRDefault="00D422A8">
    <w:pPr>
      <w:pStyle w:val="Encabezado"/>
      <w:rPr>
        <w:szCs w:val="24"/>
      </w:rPr>
    </w:pPr>
    <w:r w:rsidRPr="001703E1">
      <w:rPr>
        <w:b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C3800BF" wp14:editId="0312A232">
              <wp:simplePos x="0" y="0"/>
              <wp:positionH relativeFrom="column">
                <wp:posOffset>-346710</wp:posOffset>
              </wp:positionH>
              <wp:positionV relativeFrom="paragraph">
                <wp:posOffset>250190</wp:posOffset>
              </wp:positionV>
              <wp:extent cx="57150" cy="10894695"/>
              <wp:effectExtent l="0" t="0" r="19050" b="2095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150" cy="1089469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99A78" id="Line 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19.7pt" to="-22.8pt,8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" o:allowincell="f" strokeweight="1pt"/>
          </w:pict>
        </mc:Fallback>
      </mc:AlternateContent>
    </w:r>
  </w:p>
  <w:p w14:paraId="2B3745AF" w14:textId="54430A84" w:rsidR="000160B2" w:rsidRPr="001703E1" w:rsidRDefault="00D422A8">
    <w:pPr>
      <w:pStyle w:val="Encabezado"/>
      <w:rPr>
        <w:szCs w:val="24"/>
      </w:rPr>
    </w:pPr>
    <w:r w:rsidRPr="001703E1">
      <w:rPr>
        <w:b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1F4B78" wp14:editId="474DE4A0">
              <wp:simplePos x="0" y="0"/>
              <wp:positionH relativeFrom="column">
                <wp:posOffset>6158865</wp:posOffset>
              </wp:positionH>
              <wp:positionV relativeFrom="paragraph">
                <wp:posOffset>83819</wp:posOffset>
              </wp:positionV>
              <wp:extent cx="13335" cy="10879455"/>
              <wp:effectExtent l="0" t="0" r="24765" b="361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108794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1A02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95pt,6.6pt" to="486pt,8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3j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" o:allowincell="f" strokeweight="1pt"/>
          </w:pict>
        </mc:Fallback>
      </mc:AlternateContent>
    </w:r>
    <w:r w:rsidRPr="001703E1">
      <w:rPr>
        <w:b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F6B0AE2" wp14:editId="13EAEFF4">
              <wp:simplePos x="0" y="0"/>
              <wp:positionH relativeFrom="column">
                <wp:posOffset>3348989</wp:posOffset>
              </wp:positionH>
              <wp:positionV relativeFrom="paragraph">
                <wp:posOffset>83820</wp:posOffset>
              </wp:positionV>
              <wp:extent cx="2809875" cy="0"/>
              <wp:effectExtent l="0" t="0" r="9525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098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0388F" id="Line 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pt,6.6pt" to="484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" o:allowincell="f" strokeweight="1pt"/>
          </w:pict>
        </mc:Fallback>
      </mc:AlternateContent>
    </w:r>
    <w:r w:rsidRPr="00E322EE">
      <w:rPr>
        <w:b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B6B1BB7" wp14:editId="2AF74D3C">
              <wp:simplePos x="0" y="0"/>
              <wp:positionH relativeFrom="column">
                <wp:posOffset>-289560</wp:posOffset>
              </wp:positionH>
              <wp:positionV relativeFrom="paragraph">
                <wp:posOffset>74295</wp:posOffset>
              </wp:positionV>
              <wp:extent cx="3000375" cy="9525"/>
              <wp:effectExtent l="0" t="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003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3AAA0D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5.85pt" to="213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JnFwIAACw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" o:allowincell="f" strokeweight="1pt"/>
          </w:pict>
        </mc:Fallback>
      </mc:AlternateContent>
    </w:r>
  </w:p>
  <w:p w14:paraId="027904CC" w14:textId="77777777" w:rsidR="000160B2" w:rsidRPr="001703E1" w:rsidRDefault="000160B2">
    <w:pPr>
      <w:pStyle w:val="Encabezado"/>
      <w:rPr>
        <w:szCs w:val="24"/>
      </w:rPr>
    </w:pPr>
  </w:p>
  <w:p w14:paraId="77B9BEC1" w14:textId="77777777" w:rsidR="000160B2" w:rsidRPr="001703E1" w:rsidRDefault="000160B2">
    <w:pPr>
      <w:pStyle w:val="Encabezado"/>
      <w:rPr>
        <w:szCs w:val="24"/>
      </w:rPr>
    </w:pPr>
  </w:p>
  <w:p w14:paraId="2BD7D83F" w14:textId="77777777" w:rsidR="000160B2" w:rsidRPr="001703E1" w:rsidRDefault="000160B2">
    <w:pPr>
      <w:pStyle w:val="Encabezado"/>
      <w:jc w:val="center"/>
      <w:rPr>
        <w:b/>
        <w:szCs w:val="24"/>
      </w:rPr>
    </w:pPr>
  </w:p>
  <w:p w14:paraId="128FA31C" w14:textId="77777777" w:rsidR="000160B2" w:rsidRPr="00102895" w:rsidRDefault="000160B2">
    <w:pPr>
      <w:pStyle w:val="Encabezado"/>
      <w:jc w:val="center"/>
      <w:rPr>
        <w:b/>
        <w:szCs w:val="24"/>
      </w:rPr>
    </w:pPr>
    <w:r w:rsidRPr="00102895">
      <w:rPr>
        <w:b/>
        <w:szCs w:val="24"/>
      </w:rPr>
      <w:t>MINISTERIO DE EDUCACI</w:t>
    </w:r>
    <w:r w:rsidR="00E322EE">
      <w:rPr>
        <w:b/>
        <w:szCs w:val="24"/>
      </w:rPr>
      <w:t>Ó</w:t>
    </w:r>
    <w:r w:rsidRPr="00102895">
      <w:rPr>
        <w:b/>
        <w:szCs w:val="24"/>
      </w:rPr>
      <w:t>N NACIONAL</w:t>
    </w:r>
  </w:p>
  <w:p w14:paraId="2B7121D2" w14:textId="77777777" w:rsidR="000160B2" w:rsidRPr="001703E1" w:rsidRDefault="000160B2">
    <w:pPr>
      <w:pStyle w:val="Encabezado"/>
      <w:spacing w:line="240" w:lineRule="exact"/>
      <w:jc w:val="center"/>
      <w:rPr>
        <w:szCs w:val="24"/>
      </w:rPr>
    </w:pPr>
  </w:p>
  <w:p w14:paraId="2E2B350E" w14:textId="77777777" w:rsidR="000160B2" w:rsidRPr="00102895" w:rsidRDefault="000160B2">
    <w:pPr>
      <w:pStyle w:val="Encabezado"/>
      <w:spacing w:line="240" w:lineRule="exact"/>
      <w:jc w:val="center"/>
      <w:rPr>
        <w:b/>
        <w:szCs w:val="24"/>
      </w:rPr>
    </w:pPr>
    <w:r w:rsidRPr="00102895">
      <w:rPr>
        <w:b/>
        <w:szCs w:val="24"/>
      </w:rPr>
      <w:t>RESOLUCI</w:t>
    </w:r>
    <w:r w:rsidR="00E322EE">
      <w:rPr>
        <w:b/>
        <w:szCs w:val="24"/>
      </w:rPr>
      <w:t>Ó</w:t>
    </w:r>
    <w:r w:rsidRPr="00102895">
      <w:rPr>
        <w:b/>
        <w:szCs w:val="24"/>
      </w:rPr>
      <w:t>N N°</w:t>
    </w:r>
  </w:p>
  <w:p w14:paraId="4A9F23AA" w14:textId="77777777" w:rsidR="000160B2" w:rsidRDefault="000160B2">
    <w:pPr>
      <w:pStyle w:val="Encabezado"/>
      <w:jc w:val="center"/>
      <w:rPr>
        <w:szCs w:val="24"/>
      </w:rPr>
    </w:pPr>
  </w:p>
  <w:p w14:paraId="562818D5" w14:textId="77777777" w:rsidR="00E322EE" w:rsidRPr="00102895" w:rsidRDefault="00E322EE">
    <w:pPr>
      <w:pStyle w:val="Encabezado"/>
      <w:jc w:val="center"/>
      <w:rPr>
        <w:szCs w:val="24"/>
      </w:rPr>
    </w:pPr>
  </w:p>
  <w:p w14:paraId="5B4D88AE" w14:textId="77777777" w:rsidR="000160B2" w:rsidRDefault="000160B2">
    <w:pPr>
      <w:pStyle w:val="Encabezado"/>
      <w:jc w:val="center"/>
      <w:rPr>
        <w:b/>
        <w:szCs w:val="24"/>
      </w:rPr>
    </w:pPr>
    <w:r w:rsidRPr="00102895">
      <w:rPr>
        <w:b/>
        <w:szCs w:val="24"/>
      </w:rPr>
      <w:t>(                                     )</w:t>
    </w:r>
  </w:p>
  <w:p w14:paraId="08462EDD" w14:textId="77777777" w:rsidR="00032E5B" w:rsidRDefault="00032E5B">
    <w:pPr>
      <w:pStyle w:val="Encabezado"/>
      <w:jc w:val="center"/>
      <w:rPr>
        <w:b/>
        <w:szCs w:val="24"/>
      </w:rPr>
    </w:pPr>
  </w:p>
  <w:p w14:paraId="07809B52" w14:textId="77777777" w:rsidR="00032E5B" w:rsidRPr="00102895" w:rsidRDefault="00032E5B">
    <w:pPr>
      <w:pStyle w:val="Encabezado"/>
      <w:jc w:val="center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8C0"/>
    <w:multiLevelType w:val="hybridMultilevel"/>
    <w:tmpl w:val="227C34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94F77"/>
    <w:multiLevelType w:val="hybridMultilevel"/>
    <w:tmpl w:val="50320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40F9E"/>
    <w:multiLevelType w:val="hybridMultilevel"/>
    <w:tmpl w:val="C1C8900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3081"/>
    <w:multiLevelType w:val="hybridMultilevel"/>
    <w:tmpl w:val="262AA1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46E6"/>
    <w:multiLevelType w:val="multilevel"/>
    <w:tmpl w:val="92C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368D"/>
    <w:multiLevelType w:val="hybridMultilevel"/>
    <w:tmpl w:val="699E68C2"/>
    <w:lvl w:ilvl="0" w:tplc="01D80F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5009"/>
    <w:multiLevelType w:val="hybridMultilevel"/>
    <w:tmpl w:val="AE9E58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258"/>
    <w:multiLevelType w:val="hybridMultilevel"/>
    <w:tmpl w:val="EF20650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D137E"/>
    <w:multiLevelType w:val="multilevel"/>
    <w:tmpl w:val="0B727D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1362"/>
    <w:multiLevelType w:val="hybridMultilevel"/>
    <w:tmpl w:val="832A6A32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BF3403A"/>
    <w:multiLevelType w:val="hybridMultilevel"/>
    <w:tmpl w:val="73D657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E3E0D"/>
    <w:multiLevelType w:val="hybridMultilevel"/>
    <w:tmpl w:val="92C402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82CA5"/>
    <w:multiLevelType w:val="hybridMultilevel"/>
    <w:tmpl w:val="AADAE0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65EC"/>
    <w:multiLevelType w:val="multilevel"/>
    <w:tmpl w:val="6A0850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97CA9"/>
    <w:multiLevelType w:val="multilevel"/>
    <w:tmpl w:val="B12C76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6C43246B"/>
    <w:multiLevelType w:val="hybridMultilevel"/>
    <w:tmpl w:val="6A0850E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15"/>
  </w:num>
  <w:num w:numId="9">
    <w:abstractNumId w:val="13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00"/>
    <w:rsid w:val="000160B2"/>
    <w:rsid w:val="00016F27"/>
    <w:rsid w:val="00017A8C"/>
    <w:rsid w:val="00020BEA"/>
    <w:rsid w:val="00022B44"/>
    <w:rsid w:val="00026F66"/>
    <w:rsid w:val="0003206B"/>
    <w:rsid w:val="00032E5B"/>
    <w:rsid w:val="00036020"/>
    <w:rsid w:val="00063CD3"/>
    <w:rsid w:val="00076765"/>
    <w:rsid w:val="000769AC"/>
    <w:rsid w:val="0008088F"/>
    <w:rsid w:val="00090F6B"/>
    <w:rsid w:val="000915C4"/>
    <w:rsid w:val="00094937"/>
    <w:rsid w:val="000A733C"/>
    <w:rsid w:val="000A7BFE"/>
    <w:rsid w:val="000B391D"/>
    <w:rsid w:val="000B4711"/>
    <w:rsid w:val="000B6097"/>
    <w:rsid w:val="000B7E14"/>
    <w:rsid w:val="000C57D1"/>
    <w:rsid w:val="000C7156"/>
    <w:rsid w:val="000D2803"/>
    <w:rsid w:val="000D5D77"/>
    <w:rsid w:val="000E0207"/>
    <w:rsid w:val="000E23B4"/>
    <w:rsid w:val="000E2D64"/>
    <w:rsid w:val="000E6747"/>
    <w:rsid w:val="000F5E11"/>
    <w:rsid w:val="000F6327"/>
    <w:rsid w:val="000F70C4"/>
    <w:rsid w:val="0010020E"/>
    <w:rsid w:val="00101A0E"/>
    <w:rsid w:val="00102895"/>
    <w:rsid w:val="00111877"/>
    <w:rsid w:val="001244A7"/>
    <w:rsid w:val="00132D4B"/>
    <w:rsid w:val="0013433D"/>
    <w:rsid w:val="001416D3"/>
    <w:rsid w:val="00153346"/>
    <w:rsid w:val="00160233"/>
    <w:rsid w:val="001703E1"/>
    <w:rsid w:val="00172839"/>
    <w:rsid w:val="00180AC0"/>
    <w:rsid w:val="0019256A"/>
    <w:rsid w:val="00193A43"/>
    <w:rsid w:val="00194102"/>
    <w:rsid w:val="00197B39"/>
    <w:rsid w:val="001A1281"/>
    <w:rsid w:val="001B0945"/>
    <w:rsid w:val="001F2450"/>
    <w:rsid w:val="001F579D"/>
    <w:rsid w:val="00207FC8"/>
    <w:rsid w:val="00211FF4"/>
    <w:rsid w:val="002135F9"/>
    <w:rsid w:val="002144FE"/>
    <w:rsid w:val="002607CB"/>
    <w:rsid w:val="00267F0C"/>
    <w:rsid w:val="00276A18"/>
    <w:rsid w:val="0028089A"/>
    <w:rsid w:val="00281DA2"/>
    <w:rsid w:val="0028358B"/>
    <w:rsid w:val="00286B2C"/>
    <w:rsid w:val="00287B5D"/>
    <w:rsid w:val="002931C2"/>
    <w:rsid w:val="0029657C"/>
    <w:rsid w:val="002B5B00"/>
    <w:rsid w:val="002B6BEF"/>
    <w:rsid w:val="002C1743"/>
    <w:rsid w:val="002C4166"/>
    <w:rsid w:val="002D65C2"/>
    <w:rsid w:val="002E4466"/>
    <w:rsid w:val="002E628D"/>
    <w:rsid w:val="002F23CD"/>
    <w:rsid w:val="002F3DC9"/>
    <w:rsid w:val="00313FA2"/>
    <w:rsid w:val="0032614B"/>
    <w:rsid w:val="00326D9C"/>
    <w:rsid w:val="0035368F"/>
    <w:rsid w:val="003563C6"/>
    <w:rsid w:val="00383439"/>
    <w:rsid w:val="00391729"/>
    <w:rsid w:val="003A39A9"/>
    <w:rsid w:val="003B2A98"/>
    <w:rsid w:val="003C12BE"/>
    <w:rsid w:val="003C3F9F"/>
    <w:rsid w:val="003C594D"/>
    <w:rsid w:val="003D7D40"/>
    <w:rsid w:val="003F0BA8"/>
    <w:rsid w:val="003F193E"/>
    <w:rsid w:val="00420FF9"/>
    <w:rsid w:val="0042356C"/>
    <w:rsid w:val="004248A3"/>
    <w:rsid w:val="00443F48"/>
    <w:rsid w:val="00455DBE"/>
    <w:rsid w:val="00467D3B"/>
    <w:rsid w:val="00467FD0"/>
    <w:rsid w:val="0047303C"/>
    <w:rsid w:val="0047517E"/>
    <w:rsid w:val="00480923"/>
    <w:rsid w:val="00490245"/>
    <w:rsid w:val="004A1043"/>
    <w:rsid w:val="004B30C9"/>
    <w:rsid w:val="004C4CBE"/>
    <w:rsid w:val="004D2862"/>
    <w:rsid w:val="004E19C1"/>
    <w:rsid w:val="004F0C95"/>
    <w:rsid w:val="004F68AB"/>
    <w:rsid w:val="005065F4"/>
    <w:rsid w:val="00516893"/>
    <w:rsid w:val="00517CF6"/>
    <w:rsid w:val="005202E2"/>
    <w:rsid w:val="00533740"/>
    <w:rsid w:val="00545D8F"/>
    <w:rsid w:val="00547C2B"/>
    <w:rsid w:val="005519B0"/>
    <w:rsid w:val="0055214D"/>
    <w:rsid w:val="00553DC6"/>
    <w:rsid w:val="0056350C"/>
    <w:rsid w:val="00584006"/>
    <w:rsid w:val="005848F3"/>
    <w:rsid w:val="00591C44"/>
    <w:rsid w:val="00592C62"/>
    <w:rsid w:val="005A5561"/>
    <w:rsid w:val="005B0E1D"/>
    <w:rsid w:val="005B36AB"/>
    <w:rsid w:val="00603458"/>
    <w:rsid w:val="00622DFC"/>
    <w:rsid w:val="00664E75"/>
    <w:rsid w:val="006763C5"/>
    <w:rsid w:val="00676AA9"/>
    <w:rsid w:val="006821E4"/>
    <w:rsid w:val="00697510"/>
    <w:rsid w:val="006A4C61"/>
    <w:rsid w:val="006B4568"/>
    <w:rsid w:val="006C14FC"/>
    <w:rsid w:val="006C2FF2"/>
    <w:rsid w:val="006C4EFB"/>
    <w:rsid w:val="006C7F40"/>
    <w:rsid w:val="006D0E76"/>
    <w:rsid w:val="00715B02"/>
    <w:rsid w:val="00725702"/>
    <w:rsid w:val="00736555"/>
    <w:rsid w:val="00743187"/>
    <w:rsid w:val="00746CB9"/>
    <w:rsid w:val="00762801"/>
    <w:rsid w:val="00774B5A"/>
    <w:rsid w:val="0077751A"/>
    <w:rsid w:val="00782B80"/>
    <w:rsid w:val="00785AF7"/>
    <w:rsid w:val="007A64A6"/>
    <w:rsid w:val="007A7692"/>
    <w:rsid w:val="007D282D"/>
    <w:rsid w:val="007D720C"/>
    <w:rsid w:val="00811DD0"/>
    <w:rsid w:val="0081293C"/>
    <w:rsid w:val="00813221"/>
    <w:rsid w:val="008172BC"/>
    <w:rsid w:val="008332A6"/>
    <w:rsid w:val="00846853"/>
    <w:rsid w:val="00857E09"/>
    <w:rsid w:val="00871BBD"/>
    <w:rsid w:val="008775F0"/>
    <w:rsid w:val="008917E7"/>
    <w:rsid w:val="00897BF9"/>
    <w:rsid w:val="008C1BA7"/>
    <w:rsid w:val="008C1DC4"/>
    <w:rsid w:val="008C33CC"/>
    <w:rsid w:val="008C3EAC"/>
    <w:rsid w:val="008C661B"/>
    <w:rsid w:val="008D4C41"/>
    <w:rsid w:val="008D7B82"/>
    <w:rsid w:val="008E5B90"/>
    <w:rsid w:val="008F195C"/>
    <w:rsid w:val="008F56BA"/>
    <w:rsid w:val="00900AD5"/>
    <w:rsid w:val="00905744"/>
    <w:rsid w:val="0090613B"/>
    <w:rsid w:val="0091147E"/>
    <w:rsid w:val="00931E6D"/>
    <w:rsid w:val="00932241"/>
    <w:rsid w:val="00940FB8"/>
    <w:rsid w:val="00941EE3"/>
    <w:rsid w:val="0095089C"/>
    <w:rsid w:val="00956FD0"/>
    <w:rsid w:val="00964923"/>
    <w:rsid w:val="0097255B"/>
    <w:rsid w:val="00974D59"/>
    <w:rsid w:val="00991B78"/>
    <w:rsid w:val="00992AAF"/>
    <w:rsid w:val="009978C7"/>
    <w:rsid w:val="009A1D39"/>
    <w:rsid w:val="009B14CF"/>
    <w:rsid w:val="009B4B19"/>
    <w:rsid w:val="009B52A8"/>
    <w:rsid w:val="009F02F2"/>
    <w:rsid w:val="009F3FBE"/>
    <w:rsid w:val="00A055BF"/>
    <w:rsid w:val="00A14663"/>
    <w:rsid w:val="00A248FD"/>
    <w:rsid w:val="00A7052F"/>
    <w:rsid w:val="00A74DD8"/>
    <w:rsid w:val="00A9034A"/>
    <w:rsid w:val="00A921EA"/>
    <w:rsid w:val="00A965CE"/>
    <w:rsid w:val="00AA23FD"/>
    <w:rsid w:val="00AB718F"/>
    <w:rsid w:val="00AD0DCC"/>
    <w:rsid w:val="00AD1C2F"/>
    <w:rsid w:val="00AD7040"/>
    <w:rsid w:val="00AD75ED"/>
    <w:rsid w:val="00AE58C6"/>
    <w:rsid w:val="00AF249F"/>
    <w:rsid w:val="00AF5AD2"/>
    <w:rsid w:val="00B20683"/>
    <w:rsid w:val="00B22722"/>
    <w:rsid w:val="00B4102E"/>
    <w:rsid w:val="00B420BF"/>
    <w:rsid w:val="00B47DDA"/>
    <w:rsid w:val="00B55C54"/>
    <w:rsid w:val="00B705C5"/>
    <w:rsid w:val="00B71199"/>
    <w:rsid w:val="00B749DA"/>
    <w:rsid w:val="00B77998"/>
    <w:rsid w:val="00B86069"/>
    <w:rsid w:val="00BA018A"/>
    <w:rsid w:val="00BA043A"/>
    <w:rsid w:val="00BA7C43"/>
    <w:rsid w:val="00BB07F7"/>
    <w:rsid w:val="00BB5500"/>
    <w:rsid w:val="00BE35C5"/>
    <w:rsid w:val="00BF2CA6"/>
    <w:rsid w:val="00BF50A0"/>
    <w:rsid w:val="00BF53B9"/>
    <w:rsid w:val="00C21C82"/>
    <w:rsid w:val="00C226E6"/>
    <w:rsid w:val="00C32D16"/>
    <w:rsid w:val="00C348CA"/>
    <w:rsid w:val="00C413EA"/>
    <w:rsid w:val="00C473D3"/>
    <w:rsid w:val="00C53938"/>
    <w:rsid w:val="00C62439"/>
    <w:rsid w:val="00C66A84"/>
    <w:rsid w:val="00C72D54"/>
    <w:rsid w:val="00C73CE5"/>
    <w:rsid w:val="00C76B57"/>
    <w:rsid w:val="00C8703D"/>
    <w:rsid w:val="00C878B6"/>
    <w:rsid w:val="00C96D4C"/>
    <w:rsid w:val="00C97077"/>
    <w:rsid w:val="00CA051E"/>
    <w:rsid w:val="00CA0AD9"/>
    <w:rsid w:val="00CA66D3"/>
    <w:rsid w:val="00CB7C72"/>
    <w:rsid w:val="00CC0743"/>
    <w:rsid w:val="00CC3F24"/>
    <w:rsid w:val="00CC4C70"/>
    <w:rsid w:val="00CC6EAD"/>
    <w:rsid w:val="00CD1DF7"/>
    <w:rsid w:val="00CE1DE1"/>
    <w:rsid w:val="00CF582F"/>
    <w:rsid w:val="00D00321"/>
    <w:rsid w:val="00D00856"/>
    <w:rsid w:val="00D07C19"/>
    <w:rsid w:val="00D154F7"/>
    <w:rsid w:val="00D26EBA"/>
    <w:rsid w:val="00D422A8"/>
    <w:rsid w:val="00D62873"/>
    <w:rsid w:val="00D67671"/>
    <w:rsid w:val="00DB5ED6"/>
    <w:rsid w:val="00DD047A"/>
    <w:rsid w:val="00DD3BF7"/>
    <w:rsid w:val="00DD5F94"/>
    <w:rsid w:val="00DE00D7"/>
    <w:rsid w:val="00DE41B2"/>
    <w:rsid w:val="00DE65EC"/>
    <w:rsid w:val="00DF1875"/>
    <w:rsid w:val="00DF755F"/>
    <w:rsid w:val="00E1042F"/>
    <w:rsid w:val="00E1161E"/>
    <w:rsid w:val="00E201D7"/>
    <w:rsid w:val="00E322EE"/>
    <w:rsid w:val="00E35ABC"/>
    <w:rsid w:val="00E41077"/>
    <w:rsid w:val="00E4343C"/>
    <w:rsid w:val="00E4384B"/>
    <w:rsid w:val="00E459C7"/>
    <w:rsid w:val="00E50B1A"/>
    <w:rsid w:val="00E57EA5"/>
    <w:rsid w:val="00E61827"/>
    <w:rsid w:val="00E627D0"/>
    <w:rsid w:val="00E64551"/>
    <w:rsid w:val="00E75FEE"/>
    <w:rsid w:val="00E77AA3"/>
    <w:rsid w:val="00EB1436"/>
    <w:rsid w:val="00ED194B"/>
    <w:rsid w:val="00ED3A06"/>
    <w:rsid w:val="00ED717B"/>
    <w:rsid w:val="00EF0B8D"/>
    <w:rsid w:val="00EF3CBE"/>
    <w:rsid w:val="00EF6F29"/>
    <w:rsid w:val="00EF78CC"/>
    <w:rsid w:val="00F151DC"/>
    <w:rsid w:val="00F155A8"/>
    <w:rsid w:val="00F22B10"/>
    <w:rsid w:val="00F30026"/>
    <w:rsid w:val="00F35EE3"/>
    <w:rsid w:val="00F429C6"/>
    <w:rsid w:val="00F4561B"/>
    <w:rsid w:val="00F476A1"/>
    <w:rsid w:val="00F565B0"/>
    <w:rsid w:val="00F61828"/>
    <w:rsid w:val="00F85D85"/>
    <w:rsid w:val="00F86495"/>
    <w:rsid w:val="00F86632"/>
    <w:rsid w:val="00FA6944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1C1ED0DE"/>
  <w15:chartTrackingRefBased/>
  <w15:docId w15:val="{BC76660A-7164-4F74-9A11-8EAE045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B1A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E50B1A"/>
    <w:pPr>
      <w:keepNext/>
      <w:jc w:val="both"/>
      <w:outlineLvl w:val="0"/>
    </w:pPr>
    <w:rPr>
      <w:b/>
    </w:rPr>
  </w:style>
  <w:style w:type="paragraph" w:styleId="Ttulo7">
    <w:name w:val="heading 7"/>
    <w:basedOn w:val="Normal"/>
    <w:next w:val="Normal"/>
    <w:qFormat/>
    <w:rsid w:val="00E50B1A"/>
    <w:pPr>
      <w:keepNext/>
      <w:jc w:val="center"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50B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0B1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50B1A"/>
    <w:pPr>
      <w:jc w:val="both"/>
    </w:pPr>
  </w:style>
  <w:style w:type="paragraph" w:styleId="Prrafodelista">
    <w:name w:val="List Paragraph"/>
    <w:basedOn w:val="Normal"/>
    <w:uiPriority w:val="34"/>
    <w:qFormat/>
    <w:rsid w:val="002E446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703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703E1"/>
    <w:rPr>
      <w:rFonts w:ascii="Segoe UI" w:hAnsi="Segoe UI" w:cs="Segoe UI"/>
      <w:sz w:val="18"/>
      <w:szCs w:val="18"/>
      <w:lang w:val="es-ES" w:eastAsia="es-ES"/>
    </w:rPr>
  </w:style>
  <w:style w:type="character" w:styleId="nfasis">
    <w:name w:val="Emphasis"/>
    <w:basedOn w:val="Fuentedeprrafopredeter"/>
    <w:qFormat/>
    <w:rsid w:val="00420FF9"/>
    <w:rPr>
      <w:i/>
      <w:iCs/>
    </w:rPr>
  </w:style>
  <w:style w:type="character" w:styleId="Refdecomentario">
    <w:name w:val="annotation reference"/>
    <w:basedOn w:val="Fuentedeprrafopredeter"/>
    <w:rsid w:val="002E62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628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E628D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62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E628D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617C-BAA7-4929-8E8C-1525FAD6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1508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cual se Valida el Modelo de Gestión de Calidad EFQM (European Organization for Quality Management)</vt:lpstr>
    </vt:vector>
  </TitlesOfParts>
  <Company>MEN</Company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cual se Valida el Modelo de Gestión de Calidad EFQM (European Organization for Quality Management)</dc:title>
  <dc:subject/>
  <dc:creator>jbetancourt</dc:creator>
  <cp:keywords/>
  <dc:description/>
  <cp:lastModifiedBy>Silvio Harold Rosero Arce</cp:lastModifiedBy>
  <cp:revision>4</cp:revision>
  <cp:lastPrinted>2017-04-12T14:54:00Z</cp:lastPrinted>
  <dcterms:created xsi:type="dcterms:W3CDTF">2017-04-12T13:54:00Z</dcterms:created>
  <dcterms:modified xsi:type="dcterms:W3CDTF">2017-04-12T14:57:00Z</dcterms:modified>
</cp:coreProperties>
</file>