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6AF" w14:textId="0317D912" w:rsidR="0085352D" w:rsidRDefault="0085352D" w:rsidP="00667BC9">
      <w:pPr>
        <w:spacing w:after="0" w:line="240" w:lineRule="auto"/>
        <w:jc w:val="center"/>
        <w:rPr>
          <w:rFonts w:ascii="Times New Roman" w:hAnsi="Times New Roman"/>
          <w:b/>
          <w:sz w:val="24"/>
        </w:rPr>
      </w:pPr>
    </w:p>
    <w:p w14:paraId="2E90F507" w14:textId="44EF28F5" w:rsidR="0085352D" w:rsidRDefault="00E776E4" w:rsidP="00667BC9">
      <w:pPr>
        <w:spacing w:after="0" w:line="240" w:lineRule="auto"/>
        <w:jc w:val="center"/>
        <w:rPr>
          <w:rFonts w:ascii="Times New Roman" w:hAnsi="Times New Roman"/>
          <w:b/>
          <w:sz w:val="24"/>
        </w:rPr>
      </w:pPr>
      <w:r w:rsidRPr="00C63D02">
        <w:rPr>
          <w:rFonts w:ascii="Times New Roman" w:hAnsi="Times New Roman"/>
          <w:noProof/>
          <w:sz w:val="24"/>
          <w:szCs w:val="24"/>
          <w:lang w:eastAsia="es-CO"/>
        </w:rPr>
        <w:drawing>
          <wp:anchor distT="0" distB="0" distL="114300" distR="114300" simplePos="0" relativeHeight="251659264" behindDoc="1" locked="0" layoutInCell="1" allowOverlap="1" wp14:anchorId="310CFB26" wp14:editId="5CCBB0AA">
            <wp:simplePos x="0" y="0"/>
            <wp:positionH relativeFrom="column">
              <wp:posOffset>4067175</wp:posOffset>
            </wp:positionH>
            <wp:positionV relativeFrom="paragraph">
              <wp:posOffset>168910</wp:posOffset>
            </wp:positionV>
            <wp:extent cx="2143125" cy="4191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19100"/>
                    </a:xfrm>
                    <a:prstGeom prst="rect">
                      <a:avLst/>
                    </a:prstGeom>
                  </pic:spPr>
                </pic:pic>
              </a:graphicData>
            </a:graphic>
            <wp14:sizeRelV relativeFrom="margin">
              <wp14:pctHeight>0</wp14:pctHeight>
            </wp14:sizeRelV>
          </wp:anchor>
        </w:drawing>
      </w:r>
    </w:p>
    <w:p w14:paraId="5BB8F1E8" w14:textId="298BC09F" w:rsidR="0085352D" w:rsidRDefault="0085352D" w:rsidP="00667BC9">
      <w:pPr>
        <w:spacing w:after="0" w:line="240" w:lineRule="auto"/>
        <w:jc w:val="center"/>
        <w:rPr>
          <w:rFonts w:ascii="Times New Roman" w:hAnsi="Times New Roman"/>
          <w:b/>
          <w:sz w:val="24"/>
        </w:rPr>
      </w:pPr>
    </w:p>
    <w:p w14:paraId="6B612582" w14:textId="541A9CAB" w:rsidR="0085352D" w:rsidRDefault="0085352D" w:rsidP="00667BC9">
      <w:pPr>
        <w:spacing w:after="0" w:line="240" w:lineRule="auto"/>
        <w:jc w:val="center"/>
        <w:rPr>
          <w:rFonts w:ascii="Times New Roman" w:hAnsi="Times New Roman"/>
          <w:b/>
          <w:sz w:val="24"/>
        </w:rPr>
      </w:pPr>
      <w:bookmarkStart w:id="0" w:name="_Hlk50034304"/>
      <w:bookmarkEnd w:id="0"/>
    </w:p>
    <w:p w14:paraId="670014F4" w14:textId="77777777" w:rsidR="0085352D" w:rsidRDefault="0085352D" w:rsidP="00667BC9">
      <w:pPr>
        <w:spacing w:after="0" w:line="240" w:lineRule="auto"/>
        <w:jc w:val="center"/>
        <w:rPr>
          <w:rFonts w:ascii="Times New Roman" w:hAnsi="Times New Roman"/>
          <w:b/>
          <w:sz w:val="24"/>
        </w:rPr>
      </w:pPr>
    </w:p>
    <w:p w14:paraId="39462EEC" w14:textId="77777777" w:rsidR="00374998" w:rsidRDefault="00374998" w:rsidP="00374998">
      <w:pPr>
        <w:ind w:left="-567" w:right="-48"/>
        <w:jc w:val="center"/>
        <w:rPr>
          <w:rFonts w:ascii="Times New Roman" w:hAnsi="Times New Roman"/>
          <w:b/>
          <w:sz w:val="24"/>
          <w:szCs w:val="24"/>
        </w:rPr>
      </w:pPr>
    </w:p>
    <w:p w14:paraId="3D261A7B" w14:textId="123D8977" w:rsidR="00374998" w:rsidRDefault="00374998" w:rsidP="00374998">
      <w:pPr>
        <w:ind w:left="-567" w:right="-48"/>
        <w:jc w:val="center"/>
        <w:rPr>
          <w:rFonts w:ascii="Times New Roman" w:hAnsi="Times New Roman"/>
          <w:b/>
          <w:sz w:val="24"/>
          <w:szCs w:val="24"/>
        </w:rPr>
      </w:pPr>
    </w:p>
    <w:p w14:paraId="5DCF62AF" w14:textId="7809C636" w:rsidR="00640052" w:rsidRDefault="00640052" w:rsidP="00374998">
      <w:pPr>
        <w:ind w:left="-567" w:right="-48"/>
        <w:jc w:val="center"/>
        <w:rPr>
          <w:rFonts w:ascii="Times New Roman" w:hAnsi="Times New Roman"/>
          <w:b/>
          <w:sz w:val="24"/>
          <w:szCs w:val="24"/>
        </w:rPr>
      </w:pPr>
    </w:p>
    <w:p w14:paraId="2A060260" w14:textId="4395E0FC" w:rsidR="00640052" w:rsidRDefault="00640052" w:rsidP="00374998">
      <w:pPr>
        <w:ind w:left="-567" w:right="-48"/>
        <w:jc w:val="center"/>
        <w:rPr>
          <w:rFonts w:ascii="Times New Roman" w:hAnsi="Times New Roman"/>
          <w:b/>
          <w:sz w:val="24"/>
          <w:szCs w:val="24"/>
        </w:rPr>
      </w:pPr>
    </w:p>
    <w:p w14:paraId="5444C351" w14:textId="317E2EDD" w:rsidR="00640052" w:rsidRDefault="00640052" w:rsidP="00640052">
      <w:pPr>
        <w:spacing w:after="0" w:line="240" w:lineRule="auto"/>
        <w:ind w:left="-567" w:right="-48"/>
        <w:jc w:val="center"/>
        <w:rPr>
          <w:rFonts w:ascii="Times New Roman" w:eastAsia="Times New Roman" w:hAnsi="Times New Roman"/>
          <w:b/>
          <w:sz w:val="24"/>
          <w:szCs w:val="24"/>
          <w:lang w:eastAsia="es-CO"/>
        </w:rPr>
      </w:pPr>
    </w:p>
    <w:p w14:paraId="50D8ABCD" w14:textId="77777777" w:rsidR="00640052" w:rsidRDefault="00640052" w:rsidP="00640052">
      <w:pPr>
        <w:spacing w:after="0" w:line="240" w:lineRule="auto"/>
        <w:ind w:left="-567" w:right="-48"/>
        <w:jc w:val="center"/>
        <w:rPr>
          <w:rFonts w:ascii="Times New Roman" w:eastAsia="Times New Roman" w:hAnsi="Times New Roman"/>
          <w:b/>
          <w:sz w:val="24"/>
          <w:szCs w:val="24"/>
          <w:lang w:eastAsia="es-CO"/>
        </w:rPr>
      </w:pPr>
    </w:p>
    <w:p w14:paraId="13178D1A" w14:textId="77777777" w:rsidR="00640052" w:rsidRDefault="00640052" w:rsidP="00640052">
      <w:pPr>
        <w:spacing w:after="0" w:line="240" w:lineRule="auto"/>
        <w:ind w:left="-567" w:right="-48"/>
        <w:jc w:val="center"/>
        <w:rPr>
          <w:rFonts w:ascii="Times New Roman" w:eastAsia="Times New Roman" w:hAnsi="Times New Roman"/>
          <w:b/>
          <w:sz w:val="24"/>
          <w:szCs w:val="24"/>
          <w:lang w:eastAsia="es-CO"/>
        </w:rPr>
      </w:pPr>
    </w:p>
    <w:p w14:paraId="7DB0F61F" w14:textId="77777777" w:rsidR="00640052" w:rsidRDefault="00640052" w:rsidP="00640052">
      <w:pPr>
        <w:spacing w:after="0" w:line="240" w:lineRule="auto"/>
        <w:ind w:left="-567" w:right="-48"/>
        <w:jc w:val="center"/>
        <w:rPr>
          <w:rFonts w:ascii="Times New Roman" w:eastAsia="Times New Roman" w:hAnsi="Times New Roman"/>
          <w:b/>
          <w:sz w:val="24"/>
          <w:szCs w:val="24"/>
          <w:lang w:eastAsia="es-CO"/>
        </w:rPr>
      </w:pPr>
    </w:p>
    <w:p w14:paraId="6FAE714D" w14:textId="77777777" w:rsidR="00640052" w:rsidRDefault="00640052" w:rsidP="00640052">
      <w:pPr>
        <w:spacing w:after="0" w:line="240" w:lineRule="auto"/>
        <w:ind w:left="-567" w:right="-48"/>
        <w:jc w:val="center"/>
        <w:rPr>
          <w:rFonts w:ascii="Times New Roman" w:eastAsia="Times New Roman" w:hAnsi="Times New Roman"/>
          <w:b/>
          <w:sz w:val="24"/>
          <w:szCs w:val="24"/>
          <w:lang w:eastAsia="es-CO"/>
        </w:rPr>
      </w:pPr>
    </w:p>
    <w:p w14:paraId="0899F8B0" w14:textId="08DF0AD0" w:rsidR="00640052" w:rsidRPr="00640052" w:rsidRDefault="00640052" w:rsidP="00640052">
      <w:pPr>
        <w:spacing w:after="0" w:line="240" w:lineRule="auto"/>
        <w:ind w:left="-567" w:right="-48"/>
        <w:jc w:val="center"/>
        <w:rPr>
          <w:rFonts w:ascii="Times New Roman" w:eastAsia="Times New Roman" w:hAnsi="Times New Roman"/>
          <w:b/>
          <w:sz w:val="24"/>
          <w:szCs w:val="24"/>
          <w:lang w:eastAsia="es-CO"/>
        </w:rPr>
      </w:pPr>
      <w:r w:rsidRPr="00640052">
        <w:rPr>
          <w:rFonts w:ascii="Times New Roman" w:eastAsia="Times New Roman" w:hAnsi="Times New Roman"/>
          <w:b/>
          <w:sz w:val="24"/>
          <w:szCs w:val="24"/>
          <w:lang w:eastAsia="es-CO"/>
        </w:rPr>
        <w:t>INSTITUTO COLOMBIANO PARA LA EVALUACION DE LA EDUCACION Icfes</w:t>
      </w:r>
    </w:p>
    <w:p w14:paraId="15E61CF4" w14:textId="77777777" w:rsidR="00640052" w:rsidRPr="00640052" w:rsidRDefault="00640052" w:rsidP="00640052">
      <w:pPr>
        <w:spacing w:after="0" w:line="240" w:lineRule="auto"/>
        <w:ind w:left="1980" w:right="570" w:hanging="1980"/>
        <w:jc w:val="center"/>
        <w:rPr>
          <w:rFonts w:ascii="Times New Roman" w:eastAsia="Times New Roman" w:hAnsi="Times New Roman"/>
          <w:b/>
          <w:sz w:val="24"/>
          <w:szCs w:val="24"/>
          <w:lang w:eastAsia="es-CO"/>
        </w:rPr>
      </w:pPr>
    </w:p>
    <w:p w14:paraId="37F18C24" w14:textId="77777777" w:rsidR="00640052" w:rsidRPr="00640052" w:rsidRDefault="00640052" w:rsidP="00640052">
      <w:pPr>
        <w:spacing w:after="0" w:line="240" w:lineRule="auto"/>
        <w:ind w:left="1980" w:right="570" w:hanging="1980"/>
        <w:jc w:val="center"/>
        <w:rPr>
          <w:rFonts w:ascii="Times New Roman" w:eastAsia="Times New Roman" w:hAnsi="Times New Roman"/>
          <w:b/>
          <w:sz w:val="24"/>
          <w:szCs w:val="24"/>
          <w:lang w:eastAsia="es-CO"/>
        </w:rPr>
      </w:pPr>
      <w:r w:rsidRPr="00640052">
        <w:rPr>
          <w:rFonts w:ascii="Times New Roman" w:eastAsia="Times New Roman" w:hAnsi="Times New Roman"/>
          <w:b/>
          <w:sz w:val="24"/>
          <w:szCs w:val="24"/>
          <w:lang w:eastAsia="es-CO"/>
        </w:rPr>
        <w:t xml:space="preserve">      Estados Financieros</w:t>
      </w:r>
    </w:p>
    <w:p w14:paraId="489A1034" w14:textId="77777777" w:rsidR="00640052" w:rsidRPr="00640052" w:rsidRDefault="00640052" w:rsidP="00640052">
      <w:pPr>
        <w:spacing w:after="0" w:line="240" w:lineRule="auto"/>
        <w:ind w:left="1980" w:right="93" w:hanging="1980"/>
        <w:jc w:val="center"/>
        <w:rPr>
          <w:rFonts w:ascii="Times New Roman" w:eastAsia="Times New Roman" w:hAnsi="Times New Roman"/>
          <w:color w:val="000000"/>
          <w:sz w:val="24"/>
          <w:szCs w:val="24"/>
          <w:lang w:eastAsia="es-AR"/>
        </w:rPr>
      </w:pPr>
      <w:r w:rsidRPr="00640052">
        <w:rPr>
          <w:rFonts w:ascii="Times New Roman" w:eastAsia="Times New Roman" w:hAnsi="Times New Roman"/>
          <w:color w:val="000000"/>
          <w:sz w:val="24"/>
          <w:szCs w:val="24"/>
          <w:lang w:eastAsia="es-AR"/>
        </w:rPr>
        <w:t>Estado de Situación Financiera</w:t>
      </w:r>
    </w:p>
    <w:p w14:paraId="596C6D89" w14:textId="77777777" w:rsidR="00640052" w:rsidRPr="00640052" w:rsidRDefault="00640052" w:rsidP="00640052">
      <w:pPr>
        <w:spacing w:after="0" w:line="240" w:lineRule="auto"/>
        <w:ind w:left="1980" w:right="93" w:hanging="1980"/>
        <w:jc w:val="center"/>
        <w:rPr>
          <w:rFonts w:ascii="Times New Roman" w:eastAsia="Times New Roman" w:hAnsi="Times New Roman"/>
          <w:color w:val="000000"/>
          <w:sz w:val="24"/>
          <w:szCs w:val="24"/>
          <w:lang w:eastAsia="es-AR"/>
        </w:rPr>
      </w:pPr>
      <w:r w:rsidRPr="00640052">
        <w:rPr>
          <w:rFonts w:ascii="Times New Roman" w:eastAsia="Times New Roman" w:hAnsi="Times New Roman"/>
          <w:color w:val="000000"/>
          <w:sz w:val="24"/>
          <w:szCs w:val="24"/>
          <w:lang w:eastAsia="es-AR"/>
        </w:rPr>
        <w:t>Estado de Resultado Integral</w:t>
      </w:r>
    </w:p>
    <w:p w14:paraId="0E0087CA" w14:textId="77777777" w:rsidR="00640052" w:rsidRPr="00640052" w:rsidRDefault="00640052" w:rsidP="00640052">
      <w:pPr>
        <w:spacing w:after="0" w:line="240" w:lineRule="auto"/>
        <w:ind w:left="1980" w:right="93" w:hanging="1980"/>
        <w:jc w:val="center"/>
        <w:rPr>
          <w:rFonts w:ascii="Times New Roman" w:eastAsia="Times New Roman" w:hAnsi="Times New Roman"/>
          <w:color w:val="000000"/>
          <w:sz w:val="24"/>
          <w:szCs w:val="24"/>
          <w:lang w:eastAsia="es-AR"/>
        </w:rPr>
      </w:pPr>
      <w:r w:rsidRPr="00640052">
        <w:rPr>
          <w:rFonts w:ascii="Times New Roman" w:eastAsia="Times New Roman" w:hAnsi="Times New Roman"/>
          <w:color w:val="000000"/>
          <w:sz w:val="24"/>
          <w:szCs w:val="24"/>
          <w:lang w:eastAsia="es-AR"/>
        </w:rPr>
        <w:t>Notas a los Estados Financieros</w:t>
      </w:r>
    </w:p>
    <w:p w14:paraId="456614F2" w14:textId="77777777" w:rsidR="00640052" w:rsidRPr="00640052" w:rsidRDefault="00640052" w:rsidP="00640052">
      <w:pPr>
        <w:spacing w:after="0" w:line="240" w:lineRule="auto"/>
        <w:ind w:left="1980" w:right="93" w:hanging="1980"/>
        <w:jc w:val="both"/>
        <w:rPr>
          <w:rFonts w:ascii="Times New Roman" w:eastAsia="Times New Roman" w:hAnsi="Times New Roman"/>
          <w:sz w:val="24"/>
          <w:szCs w:val="24"/>
          <w:lang w:eastAsia="es-AR"/>
        </w:rPr>
      </w:pPr>
    </w:p>
    <w:p w14:paraId="783E5A1B" w14:textId="77777777" w:rsidR="00640052" w:rsidRPr="00640052" w:rsidRDefault="00640052" w:rsidP="00640052">
      <w:pPr>
        <w:spacing w:after="0" w:line="240" w:lineRule="auto"/>
        <w:ind w:left="1980" w:right="93" w:hanging="1980"/>
        <w:jc w:val="both"/>
        <w:rPr>
          <w:rFonts w:ascii="Times New Roman" w:eastAsia="Times New Roman" w:hAnsi="Times New Roman"/>
          <w:sz w:val="24"/>
          <w:szCs w:val="24"/>
          <w:lang w:eastAsia="es-AR"/>
        </w:rPr>
      </w:pPr>
    </w:p>
    <w:p w14:paraId="0B13C7FB" w14:textId="77777777" w:rsidR="00640052" w:rsidRPr="00640052" w:rsidRDefault="00640052" w:rsidP="00640052">
      <w:pPr>
        <w:spacing w:after="0" w:line="240" w:lineRule="auto"/>
        <w:ind w:left="1980" w:right="93" w:hanging="1980"/>
        <w:jc w:val="both"/>
        <w:rPr>
          <w:rFonts w:ascii="Times New Roman" w:eastAsia="Times New Roman" w:hAnsi="Times New Roman"/>
          <w:sz w:val="24"/>
          <w:szCs w:val="24"/>
          <w:lang w:eastAsia="es-AR"/>
        </w:rPr>
      </w:pPr>
    </w:p>
    <w:p w14:paraId="10EB9991" w14:textId="05E1DBA6" w:rsidR="00640052" w:rsidRPr="00640052" w:rsidRDefault="00640052" w:rsidP="00640052">
      <w:pPr>
        <w:spacing w:after="0" w:line="240" w:lineRule="auto"/>
        <w:ind w:left="1980" w:right="93" w:hanging="1980"/>
        <w:jc w:val="center"/>
        <w:rPr>
          <w:rFonts w:ascii="Times New Roman" w:eastAsia="Times New Roman" w:hAnsi="Times New Roman"/>
          <w:color w:val="000000"/>
          <w:sz w:val="24"/>
          <w:szCs w:val="24"/>
          <w:lang w:eastAsia="es-AR"/>
        </w:rPr>
      </w:pPr>
      <w:r w:rsidRPr="00640052">
        <w:rPr>
          <w:rFonts w:ascii="Times New Roman" w:eastAsia="Times New Roman" w:hAnsi="Times New Roman"/>
          <w:color w:val="000000"/>
          <w:sz w:val="24"/>
          <w:szCs w:val="24"/>
          <w:lang w:eastAsia="es-AR"/>
        </w:rPr>
        <w:t xml:space="preserve">Por el período finalizado el </w:t>
      </w:r>
      <w:r w:rsidR="00A476C2">
        <w:rPr>
          <w:rFonts w:ascii="Times New Roman" w:eastAsia="Times New Roman" w:hAnsi="Times New Roman"/>
          <w:color w:val="000000"/>
          <w:sz w:val="24"/>
          <w:szCs w:val="24"/>
          <w:lang w:eastAsia="es-AR"/>
        </w:rPr>
        <w:t>31</w:t>
      </w:r>
      <w:r w:rsidRPr="00640052">
        <w:rPr>
          <w:rFonts w:ascii="Times New Roman" w:eastAsia="Times New Roman" w:hAnsi="Times New Roman"/>
          <w:color w:val="000000"/>
          <w:sz w:val="24"/>
          <w:szCs w:val="24"/>
          <w:lang w:eastAsia="es-AR"/>
        </w:rPr>
        <w:t xml:space="preserve"> de</w:t>
      </w:r>
      <w:r w:rsidR="001814F1">
        <w:rPr>
          <w:rFonts w:ascii="Times New Roman" w:eastAsia="Times New Roman" w:hAnsi="Times New Roman"/>
          <w:color w:val="000000"/>
          <w:sz w:val="24"/>
          <w:szCs w:val="24"/>
          <w:lang w:eastAsia="es-AR"/>
        </w:rPr>
        <w:t xml:space="preserve"> </w:t>
      </w:r>
      <w:r w:rsidR="00A476C2">
        <w:rPr>
          <w:rFonts w:ascii="Times New Roman" w:eastAsia="Times New Roman" w:hAnsi="Times New Roman"/>
          <w:color w:val="000000"/>
          <w:sz w:val="24"/>
          <w:szCs w:val="24"/>
          <w:lang w:eastAsia="es-AR"/>
        </w:rPr>
        <w:t>marzo</w:t>
      </w:r>
      <w:r w:rsidR="00CE7007">
        <w:rPr>
          <w:rFonts w:ascii="Times New Roman" w:eastAsia="Times New Roman" w:hAnsi="Times New Roman"/>
          <w:color w:val="000000"/>
          <w:sz w:val="24"/>
          <w:szCs w:val="24"/>
          <w:lang w:eastAsia="es-AR"/>
        </w:rPr>
        <w:t xml:space="preserve"> </w:t>
      </w:r>
      <w:r w:rsidRPr="00640052">
        <w:rPr>
          <w:rFonts w:ascii="Times New Roman" w:eastAsia="Times New Roman" w:hAnsi="Times New Roman"/>
          <w:color w:val="000000"/>
          <w:sz w:val="24"/>
          <w:szCs w:val="24"/>
          <w:lang w:eastAsia="es-AR"/>
        </w:rPr>
        <w:t>de 202</w:t>
      </w:r>
      <w:r w:rsidR="00342A92">
        <w:rPr>
          <w:rFonts w:ascii="Times New Roman" w:eastAsia="Times New Roman" w:hAnsi="Times New Roman"/>
          <w:color w:val="000000"/>
          <w:sz w:val="24"/>
          <w:szCs w:val="24"/>
          <w:lang w:eastAsia="es-AR"/>
        </w:rPr>
        <w:t xml:space="preserve">2 </w:t>
      </w:r>
      <w:r w:rsidRPr="00640052">
        <w:rPr>
          <w:rFonts w:ascii="Times New Roman" w:eastAsia="Times New Roman" w:hAnsi="Times New Roman"/>
          <w:color w:val="000000"/>
          <w:sz w:val="24"/>
          <w:szCs w:val="24"/>
          <w:lang w:eastAsia="es-AR"/>
        </w:rPr>
        <w:t>presentados en forma comparativa</w:t>
      </w:r>
    </w:p>
    <w:p w14:paraId="396EF7B0" w14:textId="77777777" w:rsidR="00640052" w:rsidRPr="00640052" w:rsidRDefault="00640052" w:rsidP="00640052">
      <w:pPr>
        <w:spacing w:after="0" w:line="240" w:lineRule="auto"/>
        <w:ind w:left="1980" w:right="93" w:hanging="1980"/>
        <w:jc w:val="both"/>
        <w:rPr>
          <w:rFonts w:ascii="Times New Roman" w:eastAsia="Times New Roman" w:hAnsi="Times New Roman"/>
          <w:sz w:val="24"/>
          <w:szCs w:val="24"/>
          <w:lang w:eastAsia="es-AR"/>
        </w:rPr>
      </w:pPr>
    </w:p>
    <w:p w14:paraId="1855883A" w14:textId="06EC656B" w:rsidR="00640052" w:rsidRDefault="00640052" w:rsidP="00640052">
      <w:pPr>
        <w:spacing w:after="0" w:line="240" w:lineRule="auto"/>
        <w:ind w:left="1980" w:right="-232" w:hanging="1980"/>
        <w:jc w:val="center"/>
        <w:rPr>
          <w:rFonts w:ascii="Times New Roman" w:eastAsia="Times New Roman" w:hAnsi="Times New Roman"/>
          <w:sz w:val="24"/>
          <w:szCs w:val="24"/>
          <w:lang w:eastAsia="es-CO"/>
        </w:rPr>
      </w:pPr>
    </w:p>
    <w:p w14:paraId="35FB7344" w14:textId="77777777" w:rsidR="00C471C5" w:rsidRPr="00640052" w:rsidRDefault="00C471C5" w:rsidP="00640052">
      <w:pPr>
        <w:spacing w:after="0" w:line="240" w:lineRule="auto"/>
        <w:ind w:left="1980" w:right="-232" w:hanging="1980"/>
        <w:jc w:val="center"/>
        <w:rPr>
          <w:rFonts w:ascii="Times New Roman" w:eastAsia="Times New Roman" w:hAnsi="Times New Roman"/>
          <w:sz w:val="24"/>
          <w:szCs w:val="24"/>
          <w:lang w:eastAsia="es-CO"/>
        </w:rPr>
      </w:pPr>
    </w:p>
    <w:p w14:paraId="2457D457" w14:textId="77777777" w:rsidR="00640052" w:rsidRPr="00640052" w:rsidRDefault="00640052" w:rsidP="00640052">
      <w:pPr>
        <w:spacing w:after="0" w:line="240" w:lineRule="auto"/>
        <w:ind w:left="1980" w:right="-232" w:hanging="1980"/>
        <w:jc w:val="center"/>
        <w:rPr>
          <w:rFonts w:ascii="Times New Roman" w:eastAsia="Times New Roman" w:hAnsi="Times New Roman"/>
          <w:sz w:val="24"/>
          <w:szCs w:val="24"/>
          <w:lang w:eastAsia="es-CO"/>
        </w:rPr>
      </w:pPr>
    </w:p>
    <w:p w14:paraId="5879DB15" w14:textId="77777777" w:rsidR="00640052" w:rsidRPr="00640052" w:rsidRDefault="00640052" w:rsidP="00640052">
      <w:pPr>
        <w:spacing w:after="0" w:line="240" w:lineRule="auto"/>
        <w:ind w:left="1980" w:right="-232" w:hanging="1980"/>
        <w:jc w:val="center"/>
        <w:rPr>
          <w:rFonts w:ascii="Times New Roman" w:eastAsia="Times New Roman" w:hAnsi="Times New Roman"/>
          <w:sz w:val="24"/>
          <w:szCs w:val="24"/>
          <w:lang w:eastAsia="es-CO"/>
        </w:rPr>
      </w:pPr>
    </w:p>
    <w:p w14:paraId="313CD5D3" w14:textId="395CD5FF" w:rsidR="0085352D" w:rsidRDefault="00640052" w:rsidP="00640052">
      <w:pPr>
        <w:spacing w:after="0" w:line="240" w:lineRule="auto"/>
        <w:jc w:val="center"/>
        <w:rPr>
          <w:rFonts w:ascii="Times New Roman" w:hAnsi="Times New Roman"/>
          <w:b/>
          <w:sz w:val="24"/>
        </w:rPr>
      </w:pPr>
      <w:r w:rsidRPr="00640052">
        <w:rPr>
          <w:rFonts w:ascii="Times New Roman" w:eastAsia="Times New Roman" w:hAnsi="Times New Roman"/>
          <w:sz w:val="24"/>
          <w:szCs w:val="24"/>
          <w:lang w:eastAsia="es-CO"/>
        </w:rPr>
        <w:t xml:space="preserve">Bogotá D.C., </w:t>
      </w:r>
      <w:r w:rsidR="00A476C2">
        <w:rPr>
          <w:rFonts w:ascii="Times New Roman" w:eastAsia="Times New Roman" w:hAnsi="Times New Roman"/>
          <w:sz w:val="24"/>
          <w:szCs w:val="24"/>
          <w:lang w:eastAsia="es-CO"/>
        </w:rPr>
        <w:t>abril</w:t>
      </w:r>
      <w:r w:rsidR="001814F1">
        <w:rPr>
          <w:rFonts w:ascii="Times New Roman" w:eastAsia="Times New Roman" w:hAnsi="Times New Roman"/>
          <w:sz w:val="24"/>
          <w:szCs w:val="24"/>
          <w:lang w:eastAsia="es-CO"/>
        </w:rPr>
        <w:t xml:space="preserve"> </w:t>
      </w:r>
      <w:r w:rsidRPr="00640052">
        <w:rPr>
          <w:rFonts w:ascii="Times New Roman" w:eastAsia="Times New Roman" w:hAnsi="Times New Roman"/>
          <w:sz w:val="24"/>
          <w:szCs w:val="24"/>
          <w:lang w:eastAsia="es-CO"/>
        </w:rPr>
        <w:t>de 202</w:t>
      </w:r>
      <w:r w:rsidR="007831C9">
        <w:rPr>
          <w:rFonts w:ascii="Times New Roman" w:eastAsia="Times New Roman" w:hAnsi="Times New Roman"/>
          <w:sz w:val="24"/>
          <w:szCs w:val="24"/>
          <w:lang w:eastAsia="es-CO"/>
        </w:rPr>
        <w:t>2</w:t>
      </w:r>
    </w:p>
    <w:p w14:paraId="0D921130" w14:textId="77777777" w:rsidR="0085352D" w:rsidRDefault="0085352D" w:rsidP="00667BC9">
      <w:pPr>
        <w:spacing w:after="0" w:line="240" w:lineRule="auto"/>
        <w:jc w:val="center"/>
        <w:rPr>
          <w:rFonts w:ascii="Times New Roman" w:hAnsi="Times New Roman"/>
          <w:b/>
          <w:sz w:val="24"/>
        </w:rPr>
      </w:pPr>
    </w:p>
    <w:p w14:paraId="117E3B31" w14:textId="77777777" w:rsidR="0085352D" w:rsidRDefault="0085352D" w:rsidP="00667BC9">
      <w:pPr>
        <w:spacing w:after="0" w:line="240" w:lineRule="auto"/>
        <w:jc w:val="center"/>
        <w:rPr>
          <w:rFonts w:ascii="Times New Roman" w:hAnsi="Times New Roman"/>
          <w:b/>
          <w:sz w:val="24"/>
        </w:rPr>
      </w:pPr>
    </w:p>
    <w:p w14:paraId="60D4831F" w14:textId="77777777" w:rsidR="0085352D" w:rsidRDefault="0085352D" w:rsidP="00667BC9">
      <w:pPr>
        <w:spacing w:after="0" w:line="240" w:lineRule="auto"/>
        <w:jc w:val="center"/>
        <w:rPr>
          <w:rFonts w:ascii="Times New Roman" w:hAnsi="Times New Roman"/>
          <w:b/>
          <w:sz w:val="24"/>
        </w:rPr>
      </w:pPr>
    </w:p>
    <w:p w14:paraId="36751FF7" w14:textId="77777777" w:rsidR="0085352D" w:rsidRDefault="0085352D" w:rsidP="00667BC9">
      <w:pPr>
        <w:spacing w:after="0" w:line="240" w:lineRule="auto"/>
        <w:jc w:val="center"/>
        <w:rPr>
          <w:rFonts w:ascii="Times New Roman" w:hAnsi="Times New Roman"/>
          <w:b/>
          <w:sz w:val="24"/>
        </w:rPr>
      </w:pPr>
    </w:p>
    <w:p w14:paraId="3CF7BD72" w14:textId="77777777" w:rsidR="0085352D" w:rsidRDefault="0085352D" w:rsidP="00667BC9">
      <w:pPr>
        <w:spacing w:after="0" w:line="240" w:lineRule="auto"/>
        <w:jc w:val="center"/>
        <w:rPr>
          <w:rFonts w:ascii="Times New Roman" w:hAnsi="Times New Roman"/>
          <w:b/>
          <w:sz w:val="24"/>
        </w:rPr>
      </w:pPr>
    </w:p>
    <w:p w14:paraId="2DEFEDA0" w14:textId="77777777" w:rsidR="0085352D" w:rsidRDefault="0085352D" w:rsidP="00667BC9">
      <w:pPr>
        <w:spacing w:after="0" w:line="240" w:lineRule="auto"/>
        <w:jc w:val="center"/>
        <w:rPr>
          <w:rFonts w:ascii="Times New Roman" w:hAnsi="Times New Roman"/>
          <w:b/>
          <w:sz w:val="24"/>
        </w:rPr>
      </w:pPr>
    </w:p>
    <w:p w14:paraId="70F1A2EE" w14:textId="77777777" w:rsidR="0085352D" w:rsidRDefault="0085352D" w:rsidP="00667BC9">
      <w:pPr>
        <w:spacing w:after="0" w:line="240" w:lineRule="auto"/>
        <w:jc w:val="center"/>
        <w:rPr>
          <w:rFonts w:ascii="Times New Roman" w:hAnsi="Times New Roman"/>
          <w:b/>
          <w:sz w:val="24"/>
        </w:rPr>
      </w:pPr>
    </w:p>
    <w:p w14:paraId="2622D6EB" w14:textId="126E7370" w:rsidR="0085352D" w:rsidRDefault="0085352D" w:rsidP="00667BC9">
      <w:pPr>
        <w:spacing w:after="0" w:line="240" w:lineRule="auto"/>
        <w:jc w:val="center"/>
        <w:rPr>
          <w:rFonts w:ascii="Times New Roman" w:hAnsi="Times New Roman"/>
          <w:b/>
          <w:sz w:val="24"/>
        </w:rPr>
      </w:pPr>
    </w:p>
    <w:p w14:paraId="6C8C7FC9" w14:textId="38532871" w:rsidR="0085352D" w:rsidRDefault="0085352D" w:rsidP="00667BC9">
      <w:pPr>
        <w:spacing w:after="0" w:line="240" w:lineRule="auto"/>
        <w:jc w:val="center"/>
        <w:rPr>
          <w:rFonts w:ascii="Times New Roman" w:hAnsi="Times New Roman"/>
          <w:b/>
          <w:sz w:val="24"/>
        </w:rPr>
      </w:pPr>
    </w:p>
    <w:p w14:paraId="14C14E1D" w14:textId="4B86D71D" w:rsidR="0085352D" w:rsidRDefault="0085352D" w:rsidP="00667BC9">
      <w:pPr>
        <w:spacing w:after="0" w:line="240" w:lineRule="auto"/>
        <w:jc w:val="center"/>
        <w:rPr>
          <w:rFonts w:ascii="Times New Roman" w:hAnsi="Times New Roman"/>
          <w:b/>
          <w:sz w:val="24"/>
        </w:rPr>
      </w:pPr>
    </w:p>
    <w:p w14:paraId="2F179F98" w14:textId="222A063B" w:rsidR="0085352D" w:rsidRDefault="0085352D" w:rsidP="00667BC9">
      <w:pPr>
        <w:spacing w:after="0" w:line="240" w:lineRule="auto"/>
        <w:jc w:val="center"/>
        <w:rPr>
          <w:rFonts w:ascii="Times New Roman" w:hAnsi="Times New Roman"/>
          <w:b/>
          <w:sz w:val="24"/>
        </w:rPr>
      </w:pPr>
    </w:p>
    <w:p w14:paraId="4C67FE86" w14:textId="413DCB44" w:rsidR="0085352D" w:rsidRDefault="0009073F" w:rsidP="00667BC9">
      <w:pPr>
        <w:spacing w:after="0" w:line="240" w:lineRule="auto"/>
        <w:jc w:val="center"/>
        <w:rPr>
          <w:rFonts w:ascii="Times New Roman" w:hAnsi="Times New Roman"/>
          <w:b/>
          <w:sz w:val="24"/>
        </w:rPr>
      </w:pPr>
      <w:r>
        <w:rPr>
          <w:noProof/>
          <w:lang w:eastAsia="es-CO"/>
        </w:rPr>
        <w:drawing>
          <wp:anchor distT="0" distB="0" distL="114300" distR="114300" simplePos="0" relativeHeight="251661312" behindDoc="1" locked="0" layoutInCell="1" allowOverlap="1" wp14:anchorId="68A01E32" wp14:editId="50EBA1FA">
            <wp:simplePos x="0" y="0"/>
            <wp:positionH relativeFrom="column">
              <wp:posOffset>-1033954</wp:posOffset>
            </wp:positionH>
            <wp:positionV relativeFrom="paragraph">
              <wp:posOffset>621665</wp:posOffset>
            </wp:positionV>
            <wp:extent cx="7667625" cy="8572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7625" cy="857250"/>
                    </a:xfrm>
                    <a:prstGeom prst="rect">
                      <a:avLst/>
                    </a:prstGeom>
                  </pic:spPr>
                </pic:pic>
              </a:graphicData>
            </a:graphic>
            <wp14:sizeRelH relativeFrom="margin">
              <wp14:pctWidth>0</wp14:pctWidth>
            </wp14:sizeRelH>
            <wp14:sizeRelV relativeFrom="margin">
              <wp14:pctHeight>0</wp14:pctHeight>
            </wp14:sizeRelV>
          </wp:anchor>
        </w:drawing>
      </w:r>
    </w:p>
    <w:p w14:paraId="206A51C8" w14:textId="77777777" w:rsidR="0089274C" w:rsidRDefault="0089274C">
      <w:pPr>
        <w:pStyle w:val="TtuloTDC"/>
        <w:rPr>
          <w:rFonts w:ascii="Times New Roman" w:hAnsi="Times New Roman"/>
          <w:b/>
          <w:sz w:val="24"/>
        </w:rPr>
      </w:pPr>
      <w:r>
        <w:rPr>
          <w:rFonts w:ascii="Times New Roman" w:hAnsi="Times New Roman"/>
          <w:b/>
          <w:sz w:val="24"/>
        </w:rPr>
        <w:lastRenderedPageBreak/>
        <w:tab/>
      </w:r>
    </w:p>
    <w:sdt>
      <w:sdtPr>
        <w:rPr>
          <w:rFonts w:ascii="Times New Roman" w:hAnsi="Times New Roman"/>
          <w:sz w:val="24"/>
          <w:szCs w:val="24"/>
          <w:lang w:val="es-ES"/>
        </w:rPr>
        <w:id w:val="-337782563"/>
        <w:docPartObj>
          <w:docPartGallery w:val="Table of Contents"/>
          <w:docPartUnique/>
        </w:docPartObj>
      </w:sdtPr>
      <w:sdtEndPr>
        <w:rPr>
          <w:rFonts w:ascii="Calibri" w:hAnsi="Calibri"/>
          <w:b/>
          <w:bCs/>
          <w:sz w:val="22"/>
          <w:szCs w:val="22"/>
        </w:rPr>
      </w:sdtEndPr>
      <w:sdtContent>
        <w:p w14:paraId="22209AB9" w14:textId="694F4080" w:rsidR="00CA0525" w:rsidRPr="00600193" w:rsidRDefault="00CA0525" w:rsidP="0089274C">
          <w:pPr>
            <w:tabs>
              <w:tab w:val="left" w:pos="1290"/>
            </w:tabs>
            <w:spacing w:after="0" w:line="240" w:lineRule="auto"/>
            <w:rPr>
              <w:rFonts w:ascii="Times New Roman" w:hAnsi="Times New Roman"/>
              <w:b/>
              <w:sz w:val="24"/>
              <w:szCs w:val="24"/>
            </w:rPr>
          </w:pPr>
          <w:r w:rsidRPr="00600193">
            <w:rPr>
              <w:rFonts w:ascii="Times New Roman" w:hAnsi="Times New Roman"/>
              <w:b/>
              <w:sz w:val="24"/>
              <w:szCs w:val="24"/>
              <w:lang w:val="es-ES"/>
            </w:rPr>
            <w:t>Contenido</w:t>
          </w:r>
        </w:p>
        <w:p w14:paraId="76590932" w14:textId="04775266" w:rsidR="00CE7007" w:rsidRDefault="00CA0525">
          <w:pPr>
            <w:pStyle w:val="TDC1"/>
            <w:tabs>
              <w:tab w:val="right" w:leader="dot" w:pos="9252"/>
            </w:tabs>
            <w:rPr>
              <w:rFonts w:asciiTheme="minorHAnsi" w:eastAsiaTheme="minorEastAsia" w:hAnsiTheme="minorHAnsi" w:cstheme="minorBidi"/>
              <w:noProof/>
              <w:lang w:eastAsia="es-CO"/>
            </w:rPr>
          </w:pPr>
          <w:r w:rsidRPr="00600193">
            <w:rPr>
              <w:rFonts w:ascii="Times New Roman" w:hAnsi="Times New Roman"/>
              <w:sz w:val="24"/>
              <w:szCs w:val="24"/>
            </w:rPr>
            <w:fldChar w:fldCharType="begin"/>
          </w:r>
          <w:r w:rsidRPr="00600193">
            <w:rPr>
              <w:rFonts w:ascii="Times New Roman" w:hAnsi="Times New Roman"/>
              <w:sz w:val="24"/>
              <w:szCs w:val="24"/>
            </w:rPr>
            <w:instrText xml:space="preserve"> TOC \o "1-3" \h \z \u </w:instrText>
          </w:r>
          <w:r w:rsidRPr="00600193">
            <w:rPr>
              <w:rFonts w:ascii="Times New Roman" w:hAnsi="Times New Roman"/>
              <w:sz w:val="24"/>
              <w:szCs w:val="24"/>
            </w:rPr>
            <w:fldChar w:fldCharType="separate"/>
          </w:r>
          <w:hyperlink w:anchor="_Toc99455288" w:history="1">
            <w:r w:rsidR="00CE7007" w:rsidRPr="00683874">
              <w:rPr>
                <w:rStyle w:val="Hipervnculo"/>
                <w:noProof/>
              </w:rPr>
              <w:t>INSTITUTO COLOMBIANO PARA LA EVALUACION DE LA EDUCACION ICFES</w:t>
            </w:r>
            <w:r w:rsidR="00CE7007">
              <w:rPr>
                <w:noProof/>
                <w:webHidden/>
              </w:rPr>
              <w:tab/>
            </w:r>
            <w:r w:rsidR="00CE7007">
              <w:rPr>
                <w:noProof/>
                <w:webHidden/>
              </w:rPr>
              <w:fldChar w:fldCharType="begin"/>
            </w:r>
            <w:r w:rsidR="00CE7007">
              <w:rPr>
                <w:noProof/>
                <w:webHidden/>
              </w:rPr>
              <w:instrText xml:space="preserve"> PAGEREF _Toc99455288 \h </w:instrText>
            </w:r>
            <w:r w:rsidR="00CE7007">
              <w:rPr>
                <w:noProof/>
                <w:webHidden/>
              </w:rPr>
            </w:r>
            <w:r w:rsidR="00CE7007">
              <w:rPr>
                <w:noProof/>
                <w:webHidden/>
              </w:rPr>
              <w:fldChar w:fldCharType="separate"/>
            </w:r>
            <w:r w:rsidR="00CE7007">
              <w:rPr>
                <w:noProof/>
                <w:webHidden/>
              </w:rPr>
              <w:t>6</w:t>
            </w:r>
            <w:r w:rsidR="00CE7007">
              <w:rPr>
                <w:noProof/>
                <w:webHidden/>
              </w:rPr>
              <w:fldChar w:fldCharType="end"/>
            </w:r>
          </w:hyperlink>
        </w:p>
        <w:p w14:paraId="50C2C0E5" w14:textId="77061080" w:rsidR="00CE7007" w:rsidRDefault="00DA22DF">
          <w:pPr>
            <w:pStyle w:val="TDC1"/>
            <w:tabs>
              <w:tab w:val="right" w:leader="dot" w:pos="9252"/>
            </w:tabs>
            <w:rPr>
              <w:rFonts w:asciiTheme="minorHAnsi" w:eastAsiaTheme="minorEastAsia" w:hAnsiTheme="minorHAnsi" w:cstheme="minorBidi"/>
              <w:noProof/>
              <w:lang w:eastAsia="es-CO"/>
            </w:rPr>
          </w:pPr>
          <w:hyperlink w:anchor="_Toc99455289" w:history="1">
            <w:r w:rsidR="00CE7007" w:rsidRPr="00683874">
              <w:rPr>
                <w:rStyle w:val="Hipervnculo"/>
                <w:noProof/>
              </w:rPr>
              <w:t>NOTA 1. ENTIDAD REPORTANTE</w:t>
            </w:r>
            <w:r w:rsidR="00CE7007">
              <w:rPr>
                <w:noProof/>
                <w:webHidden/>
              </w:rPr>
              <w:tab/>
            </w:r>
            <w:r w:rsidR="00CE7007">
              <w:rPr>
                <w:noProof/>
                <w:webHidden/>
              </w:rPr>
              <w:fldChar w:fldCharType="begin"/>
            </w:r>
            <w:r w:rsidR="00CE7007">
              <w:rPr>
                <w:noProof/>
                <w:webHidden/>
              </w:rPr>
              <w:instrText xml:space="preserve"> PAGEREF _Toc99455289 \h </w:instrText>
            </w:r>
            <w:r w:rsidR="00CE7007">
              <w:rPr>
                <w:noProof/>
                <w:webHidden/>
              </w:rPr>
            </w:r>
            <w:r w:rsidR="00CE7007">
              <w:rPr>
                <w:noProof/>
                <w:webHidden/>
              </w:rPr>
              <w:fldChar w:fldCharType="separate"/>
            </w:r>
            <w:r w:rsidR="00CE7007">
              <w:rPr>
                <w:noProof/>
                <w:webHidden/>
              </w:rPr>
              <w:t>6</w:t>
            </w:r>
            <w:r w:rsidR="00CE7007">
              <w:rPr>
                <w:noProof/>
                <w:webHidden/>
              </w:rPr>
              <w:fldChar w:fldCharType="end"/>
            </w:r>
          </w:hyperlink>
        </w:p>
        <w:p w14:paraId="5A6EE33D" w14:textId="4D8E8208" w:rsidR="00CE7007" w:rsidRDefault="00DA22DF">
          <w:pPr>
            <w:pStyle w:val="TDC2"/>
            <w:tabs>
              <w:tab w:val="left" w:pos="880"/>
              <w:tab w:val="right" w:leader="dot" w:pos="9252"/>
            </w:tabs>
            <w:rPr>
              <w:rFonts w:cstheme="minorBidi"/>
              <w:noProof/>
            </w:rPr>
          </w:pPr>
          <w:hyperlink w:anchor="_Toc99455290" w:history="1">
            <w:r w:rsidR="00CE7007" w:rsidRPr="00683874">
              <w:rPr>
                <w:rStyle w:val="Hipervnculo"/>
                <w:noProof/>
              </w:rPr>
              <w:t>1.1.</w:t>
            </w:r>
            <w:r w:rsidR="00CE7007">
              <w:rPr>
                <w:rFonts w:cstheme="minorBidi"/>
                <w:noProof/>
              </w:rPr>
              <w:tab/>
            </w:r>
            <w:r w:rsidR="00CE7007" w:rsidRPr="00683874">
              <w:rPr>
                <w:rStyle w:val="Hipervnculo"/>
                <w:noProof/>
              </w:rPr>
              <w:t>Identificación y funciones</w:t>
            </w:r>
            <w:r w:rsidR="00CE7007">
              <w:rPr>
                <w:noProof/>
                <w:webHidden/>
              </w:rPr>
              <w:tab/>
            </w:r>
            <w:r w:rsidR="00CE7007">
              <w:rPr>
                <w:noProof/>
                <w:webHidden/>
              </w:rPr>
              <w:fldChar w:fldCharType="begin"/>
            </w:r>
            <w:r w:rsidR="00CE7007">
              <w:rPr>
                <w:noProof/>
                <w:webHidden/>
              </w:rPr>
              <w:instrText xml:space="preserve"> PAGEREF _Toc99455290 \h </w:instrText>
            </w:r>
            <w:r w:rsidR="00CE7007">
              <w:rPr>
                <w:noProof/>
                <w:webHidden/>
              </w:rPr>
            </w:r>
            <w:r w:rsidR="00CE7007">
              <w:rPr>
                <w:noProof/>
                <w:webHidden/>
              </w:rPr>
              <w:fldChar w:fldCharType="separate"/>
            </w:r>
            <w:r w:rsidR="00CE7007">
              <w:rPr>
                <w:noProof/>
                <w:webHidden/>
              </w:rPr>
              <w:t>7</w:t>
            </w:r>
            <w:r w:rsidR="00CE7007">
              <w:rPr>
                <w:noProof/>
                <w:webHidden/>
              </w:rPr>
              <w:fldChar w:fldCharType="end"/>
            </w:r>
          </w:hyperlink>
        </w:p>
        <w:p w14:paraId="6B107107" w14:textId="6C03EB04" w:rsidR="00CE7007" w:rsidRDefault="00DA22DF">
          <w:pPr>
            <w:pStyle w:val="TDC2"/>
            <w:tabs>
              <w:tab w:val="left" w:pos="880"/>
              <w:tab w:val="right" w:leader="dot" w:pos="9252"/>
            </w:tabs>
            <w:rPr>
              <w:rFonts w:cstheme="minorBidi"/>
              <w:noProof/>
            </w:rPr>
          </w:pPr>
          <w:hyperlink w:anchor="_Toc99455291" w:history="1">
            <w:r w:rsidR="00CE7007" w:rsidRPr="00683874">
              <w:rPr>
                <w:rStyle w:val="Hipervnculo"/>
                <w:noProof/>
              </w:rPr>
              <w:t>1.2.</w:t>
            </w:r>
            <w:r w:rsidR="00CE7007">
              <w:rPr>
                <w:rFonts w:cstheme="minorBidi"/>
                <w:noProof/>
              </w:rPr>
              <w:tab/>
            </w:r>
            <w:r w:rsidR="00CE7007" w:rsidRPr="00683874">
              <w:rPr>
                <w:rStyle w:val="Hipervnculo"/>
                <w:noProof/>
              </w:rPr>
              <w:t>Declaración de cumplimiento del marco normativo y limitaciones</w:t>
            </w:r>
            <w:r w:rsidR="00CE7007">
              <w:rPr>
                <w:noProof/>
                <w:webHidden/>
              </w:rPr>
              <w:tab/>
            </w:r>
            <w:r w:rsidR="00CE7007">
              <w:rPr>
                <w:noProof/>
                <w:webHidden/>
              </w:rPr>
              <w:fldChar w:fldCharType="begin"/>
            </w:r>
            <w:r w:rsidR="00CE7007">
              <w:rPr>
                <w:noProof/>
                <w:webHidden/>
              </w:rPr>
              <w:instrText xml:space="preserve"> PAGEREF _Toc99455291 \h </w:instrText>
            </w:r>
            <w:r w:rsidR="00CE7007">
              <w:rPr>
                <w:noProof/>
                <w:webHidden/>
              </w:rPr>
            </w:r>
            <w:r w:rsidR="00CE7007">
              <w:rPr>
                <w:noProof/>
                <w:webHidden/>
              </w:rPr>
              <w:fldChar w:fldCharType="separate"/>
            </w:r>
            <w:r w:rsidR="00CE7007">
              <w:rPr>
                <w:noProof/>
                <w:webHidden/>
              </w:rPr>
              <w:t>9</w:t>
            </w:r>
            <w:r w:rsidR="00CE7007">
              <w:rPr>
                <w:noProof/>
                <w:webHidden/>
              </w:rPr>
              <w:fldChar w:fldCharType="end"/>
            </w:r>
          </w:hyperlink>
        </w:p>
        <w:p w14:paraId="70CCF986" w14:textId="267439D8" w:rsidR="00CE7007" w:rsidRDefault="00DA22DF">
          <w:pPr>
            <w:pStyle w:val="TDC2"/>
            <w:tabs>
              <w:tab w:val="left" w:pos="880"/>
              <w:tab w:val="right" w:leader="dot" w:pos="9252"/>
            </w:tabs>
            <w:rPr>
              <w:rFonts w:cstheme="minorBidi"/>
              <w:noProof/>
            </w:rPr>
          </w:pPr>
          <w:hyperlink w:anchor="_Toc99455292" w:history="1">
            <w:r w:rsidR="00CE7007" w:rsidRPr="00683874">
              <w:rPr>
                <w:rStyle w:val="Hipervnculo"/>
                <w:noProof/>
              </w:rPr>
              <w:t>1.3.</w:t>
            </w:r>
            <w:r w:rsidR="00CE7007">
              <w:rPr>
                <w:rFonts w:cstheme="minorBidi"/>
                <w:noProof/>
              </w:rPr>
              <w:tab/>
            </w:r>
            <w:r w:rsidR="00CE7007" w:rsidRPr="00683874">
              <w:rPr>
                <w:rStyle w:val="Hipervnculo"/>
                <w:noProof/>
              </w:rPr>
              <w:t>Base normativa y periodo cubierto</w:t>
            </w:r>
            <w:r w:rsidR="00CE7007">
              <w:rPr>
                <w:noProof/>
                <w:webHidden/>
              </w:rPr>
              <w:tab/>
            </w:r>
            <w:r w:rsidR="00CE7007">
              <w:rPr>
                <w:noProof/>
                <w:webHidden/>
              </w:rPr>
              <w:fldChar w:fldCharType="begin"/>
            </w:r>
            <w:r w:rsidR="00CE7007">
              <w:rPr>
                <w:noProof/>
                <w:webHidden/>
              </w:rPr>
              <w:instrText xml:space="preserve"> PAGEREF _Toc99455292 \h </w:instrText>
            </w:r>
            <w:r w:rsidR="00CE7007">
              <w:rPr>
                <w:noProof/>
                <w:webHidden/>
              </w:rPr>
            </w:r>
            <w:r w:rsidR="00CE7007">
              <w:rPr>
                <w:noProof/>
                <w:webHidden/>
              </w:rPr>
              <w:fldChar w:fldCharType="separate"/>
            </w:r>
            <w:r w:rsidR="00CE7007">
              <w:rPr>
                <w:noProof/>
                <w:webHidden/>
              </w:rPr>
              <w:t>10</w:t>
            </w:r>
            <w:r w:rsidR="00CE7007">
              <w:rPr>
                <w:noProof/>
                <w:webHidden/>
              </w:rPr>
              <w:fldChar w:fldCharType="end"/>
            </w:r>
          </w:hyperlink>
        </w:p>
        <w:p w14:paraId="028D7DBF" w14:textId="18BF9269" w:rsidR="00CE7007" w:rsidRDefault="00DA22DF">
          <w:pPr>
            <w:pStyle w:val="TDC2"/>
            <w:tabs>
              <w:tab w:val="left" w:pos="880"/>
              <w:tab w:val="right" w:leader="dot" w:pos="9252"/>
            </w:tabs>
            <w:rPr>
              <w:rFonts w:cstheme="minorBidi"/>
              <w:noProof/>
            </w:rPr>
          </w:pPr>
          <w:hyperlink w:anchor="_Toc99455293" w:history="1">
            <w:r w:rsidR="00CE7007" w:rsidRPr="00683874">
              <w:rPr>
                <w:rStyle w:val="Hipervnculo"/>
                <w:noProof/>
              </w:rPr>
              <w:t>1.4.</w:t>
            </w:r>
            <w:r w:rsidR="00CE7007">
              <w:rPr>
                <w:rFonts w:cstheme="minorBidi"/>
                <w:noProof/>
              </w:rPr>
              <w:tab/>
            </w:r>
            <w:r w:rsidR="00CE7007" w:rsidRPr="00683874">
              <w:rPr>
                <w:rStyle w:val="Hipervnculo"/>
                <w:noProof/>
              </w:rPr>
              <w:t>Forma de Organización y/o Cobertura</w:t>
            </w:r>
            <w:r w:rsidR="00CE7007">
              <w:rPr>
                <w:noProof/>
                <w:webHidden/>
              </w:rPr>
              <w:tab/>
            </w:r>
            <w:r w:rsidR="00CE7007">
              <w:rPr>
                <w:noProof/>
                <w:webHidden/>
              </w:rPr>
              <w:fldChar w:fldCharType="begin"/>
            </w:r>
            <w:r w:rsidR="00CE7007">
              <w:rPr>
                <w:noProof/>
                <w:webHidden/>
              </w:rPr>
              <w:instrText xml:space="preserve"> PAGEREF _Toc99455293 \h </w:instrText>
            </w:r>
            <w:r w:rsidR="00CE7007">
              <w:rPr>
                <w:noProof/>
                <w:webHidden/>
              </w:rPr>
            </w:r>
            <w:r w:rsidR="00CE7007">
              <w:rPr>
                <w:noProof/>
                <w:webHidden/>
              </w:rPr>
              <w:fldChar w:fldCharType="separate"/>
            </w:r>
            <w:r w:rsidR="00CE7007">
              <w:rPr>
                <w:noProof/>
                <w:webHidden/>
              </w:rPr>
              <w:t>10</w:t>
            </w:r>
            <w:r w:rsidR="00CE7007">
              <w:rPr>
                <w:noProof/>
                <w:webHidden/>
              </w:rPr>
              <w:fldChar w:fldCharType="end"/>
            </w:r>
          </w:hyperlink>
        </w:p>
        <w:p w14:paraId="091DC9CE" w14:textId="29F8155E" w:rsidR="00CE7007" w:rsidRDefault="00DA22DF">
          <w:pPr>
            <w:pStyle w:val="TDC1"/>
            <w:tabs>
              <w:tab w:val="right" w:leader="dot" w:pos="9252"/>
            </w:tabs>
            <w:rPr>
              <w:rFonts w:asciiTheme="minorHAnsi" w:eastAsiaTheme="minorEastAsia" w:hAnsiTheme="minorHAnsi" w:cstheme="minorBidi"/>
              <w:noProof/>
              <w:lang w:eastAsia="es-CO"/>
            </w:rPr>
          </w:pPr>
          <w:hyperlink w:anchor="_Toc99455294" w:history="1">
            <w:r w:rsidR="00CE7007" w:rsidRPr="00683874">
              <w:rPr>
                <w:rStyle w:val="Hipervnculo"/>
                <w:noProof/>
              </w:rPr>
              <w:t>NOTA 2. BASES DE MEDICIÓN Y PRESENTACIÓN UTILIZADAS</w:t>
            </w:r>
            <w:r w:rsidR="00CE7007">
              <w:rPr>
                <w:noProof/>
                <w:webHidden/>
              </w:rPr>
              <w:tab/>
            </w:r>
            <w:r w:rsidR="00CE7007">
              <w:rPr>
                <w:noProof/>
                <w:webHidden/>
              </w:rPr>
              <w:fldChar w:fldCharType="begin"/>
            </w:r>
            <w:r w:rsidR="00CE7007">
              <w:rPr>
                <w:noProof/>
                <w:webHidden/>
              </w:rPr>
              <w:instrText xml:space="preserve"> PAGEREF _Toc99455294 \h </w:instrText>
            </w:r>
            <w:r w:rsidR="00CE7007">
              <w:rPr>
                <w:noProof/>
                <w:webHidden/>
              </w:rPr>
            </w:r>
            <w:r w:rsidR="00CE7007">
              <w:rPr>
                <w:noProof/>
                <w:webHidden/>
              </w:rPr>
              <w:fldChar w:fldCharType="separate"/>
            </w:r>
            <w:r w:rsidR="00CE7007">
              <w:rPr>
                <w:noProof/>
                <w:webHidden/>
              </w:rPr>
              <w:t>10</w:t>
            </w:r>
            <w:r w:rsidR="00CE7007">
              <w:rPr>
                <w:noProof/>
                <w:webHidden/>
              </w:rPr>
              <w:fldChar w:fldCharType="end"/>
            </w:r>
          </w:hyperlink>
        </w:p>
        <w:p w14:paraId="56D386E7" w14:textId="73AEA7C5" w:rsidR="00CE7007" w:rsidRDefault="00DA22DF">
          <w:pPr>
            <w:pStyle w:val="TDC2"/>
            <w:tabs>
              <w:tab w:val="left" w:pos="880"/>
              <w:tab w:val="right" w:leader="dot" w:pos="9252"/>
            </w:tabs>
            <w:rPr>
              <w:rFonts w:cstheme="minorBidi"/>
              <w:noProof/>
            </w:rPr>
          </w:pPr>
          <w:hyperlink w:anchor="_Toc99455295" w:history="1">
            <w:r w:rsidR="00CE7007" w:rsidRPr="00683874">
              <w:rPr>
                <w:rStyle w:val="Hipervnculo"/>
                <w:noProof/>
              </w:rPr>
              <w:t>2.1.</w:t>
            </w:r>
            <w:r w:rsidR="00CE7007">
              <w:rPr>
                <w:rFonts w:cstheme="minorBidi"/>
                <w:noProof/>
              </w:rPr>
              <w:tab/>
            </w:r>
            <w:r w:rsidR="00CE7007" w:rsidRPr="00683874">
              <w:rPr>
                <w:rStyle w:val="Hipervnculo"/>
                <w:noProof/>
              </w:rPr>
              <w:t>Bases de medición</w:t>
            </w:r>
            <w:r w:rsidR="00CE7007">
              <w:rPr>
                <w:noProof/>
                <w:webHidden/>
              </w:rPr>
              <w:tab/>
            </w:r>
            <w:r w:rsidR="00CE7007">
              <w:rPr>
                <w:noProof/>
                <w:webHidden/>
              </w:rPr>
              <w:fldChar w:fldCharType="begin"/>
            </w:r>
            <w:r w:rsidR="00CE7007">
              <w:rPr>
                <w:noProof/>
                <w:webHidden/>
              </w:rPr>
              <w:instrText xml:space="preserve"> PAGEREF _Toc99455295 \h </w:instrText>
            </w:r>
            <w:r w:rsidR="00CE7007">
              <w:rPr>
                <w:noProof/>
                <w:webHidden/>
              </w:rPr>
            </w:r>
            <w:r w:rsidR="00CE7007">
              <w:rPr>
                <w:noProof/>
                <w:webHidden/>
              </w:rPr>
              <w:fldChar w:fldCharType="separate"/>
            </w:r>
            <w:r w:rsidR="00CE7007">
              <w:rPr>
                <w:noProof/>
                <w:webHidden/>
              </w:rPr>
              <w:t>10</w:t>
            </w:r>
            <w:r w:rsidR="00CE7007">
              <w:rPr>
                <w:noProof/>
                <w:webHidden/>
              </w:rPr>
              <w:fldChar w:fldCharType="end"/>
            </w:r>
          </w:hyperlink>
        </w:p>
        <w:p w14:paraId="0BEB3D0E" w14:textId="3786BE23" w:rsidR="00CE7007" w:rsidRDefault="00DA22DF">
          <w:pPr>
            <w:pStyle w:val="TDC2"/>
            <w:tabs>
              <w:tab w:val="left" w:pos="880"/>
              <w:tab w:val="right" w:leader="dot" w:pos="9252"/>
            </w:tabs>
            <w:rPr>
              <w:rFonts w:cstheme="minorBidi"/>
              <w:noProof/>
            </w:rPr>
          </w:pPr>
          <w:hyperlink w:anchor="_Toc99455296" w:history="1">
            <w:r w:rsidR="00CE7007" w:rsidRPr="00683874">
              <w:rPr>
                <w:rStyle w:val="Hipervnculo"/>
                <w:noProof/>
              </w:rPr>
              <w:t>2.2.</w:t>
            </w:r>
            <w:r w:rsidR="00CE7007">
              <w:rPr>
                <w:rFonts w:cstheme="minorBidi"/>
                <w:noProof/>
              </w:rPr>
              <w:tab/>
            </w:r>
            <w:r w:rsidR="00CE7007" w:rsidRPr="00683874">
              <w:rPr>
                <w:rStyle w:val="Hipervnculo"/>
                <w:noProof/>
              </w:rPr>
              <w:t>Moneda funcional y de presentación, redondeo y materialidad</w:t>
            </w:r>
            <w:r w:rsidR="00CE7007">
              <w:rPr>
                <w:noProof/>
                <w:webHidden/>
              </w:rPr>
              <w:tab/>
            </w:r>
            <w:r w:rsidR="00CE7007">
              <w:rPr>
                <w:noProof/>
                <w:webHidden/>
              </w:rPr>
              <w:fldChar w:fldCharType="begin"/>
            </w:r>
            <w:r w:rsidR="00CE7007">
              <w:rPr>
                <w:noProof/>
                <w:webHidden/>
              </w:rPr>
              <w:instrText xml:space="preserve"> PAGEREF _Toc99455296 \h </w:instrText>
            </w:r>
            <w:r w:rsidR="00CE7007">
              <w:rPr>
                <w:noProof/>
                <w:webHidden/>
              </w:rPr>
            </w:r>
            <w:r w:rsidR="00CE7007">
              <w:rPr>
                <w:noProof/>
                <w:webHidden/>
              </w:rPr>
              <w:fldChar w:fldCharType="separate"/>
            </w:r>
            <w:r w:rsidR="00CE7007">
              <w:rPr>
                <w:noProof/>
                <w:webHidden/>
              </w:rPr>
              <w:t>10</w:t>
            </w:r>
            <w:r w:rsidR="00CE7007">
              <w:rPr>
                <w:noProof/>
                <w:webHidden/>
              </w:rPr>
              <w:fldChar w:fldCharType="end"/>
            </w:r>
          </w:hyperlink>
        </w:p>
        <w:p w14:paraId="5A91F0EA" w14:textId="275F7E17" w:rsidR="00CE7007" w:rsidRDefault="00DA22DF">
          <w:pPr>
            <w:pStyle w:val="TDC2"/>
            <w:tabs>
              <w:tab w:val="left" w:pos="880"/>
              <w:tab w:val="right" w:leader="dot" w:pos="9252"/>
            </w:tabs>
            <w:rPr>
              <w:rFonts w:cstheme="minorBidi"/>
              <w:noProof/>
            </w:rPr>
          </w:pPr>
          <w:hyperlink w:anchor="_Toc99455297" w:history="1">
            <w:r w:rsidR="00CE7007" w:rsidRPr="00683874">
              <w:rPr>
                <w:rStyle w:val="Hipervnculo"/>
                <w:noProof/>
              </w:rPr>
              <w:t>2.3.</w:t>
            </w:r>
            <w:r w:rsidR="00CE7007">
              <w:rPr>
                <w:rFonts w:cstheme="minorBidi"/>
                <w:noProof/>
              </w:rPr>
              <w:tab/>
            </w:r>
            <w:r w:rsidR="00CE7007" w:rsidRPr="00683874">
              <w:rPr>
                <w:rStyle w:val="Hipervnculo"/>
                <w:noProof/>
              </w:rPr>
              <w:t>Tratamiento de la moneda extranjera</w:t>
            </w:r>
            <w:r w:rsidR="00CE7007">
              <w:rPr>
                <w:noProof/>
                <w:webHidden/>
              </w:rPr>
              <w:tab/>
            </w:r>
            <w:r w:rsidR="00CE7007">
              <w:rPr>
                <w:noProof/>
                <w:webHidden/>
              </w:rPr>
              <w:fldChar w:fldCharType="begin"/>
            </w:r>
            <w:r w:rsidR="00CE7007">
              <w:rPr>
                <w:noProof/>
                <w:webHidden/>
              </w:rPr>
              <w:instrText xml:space="preserve"> PAGEREF _Toc99455297 \h </w:instrText>
            </w:r>
            <w:r w:rsidR="00CE7007">
              <w:rPr>
                <w:noProof/>
                <w:webHidden/>
              </w:rPr>
            </w:r>
            <w:r w:rsidR="00CE7007">
              <w:rPr>
                <w:noProof/>
                <w:webHidden/>
              </w:rPr>
              <w:fldChar w:fldCharType="separate"/>
            </w:r>
            <w:r w:rsidR="00CE7007">
              <w:rPr>
                <w:noProof/>
                <w:webHidden/>
              </w:rPr>
              <w:t>11</w:t>
            </w:r>
            <w:r w:rsidR="00CE7007">
              <w:rPr>
                <w:noProof/>
                <w:webHidden/>
              </w:rPr>
              <w:fldChar w:fldCharType="end"/>
            </w:r>
          </w:hyperlink>
        </w:p>
        <w:p w14:paraId="2BD42F01" w14:textId="740B5AB8" w:rsidR="00CE7007" w:rsidRDefault="00DA22DF">
          <w:pPr>
            <w:pStyle w:val="TDC2"/>
            <w:tabs>
              <w:tab w:val="left" w:pos="880"/>
              <w:tab w:val="right" w:leader="dot" w:pos="9252"/>
            </w:tabs>
            <w:rPr>
              <w:rFonts w:cstheme="minorBidi"/>
              <w:noProof/>
            </w:rPr>
          </w:pPr>
          <w:hyperlink w:anchor="_Toc99455298" w:history="1">
            <w:r w:rsidR="00CE7007" w:rsidRPr="00683874">
              <w:rPr>
                <w:rStyle w:val="Hipervnculo"/>
                <w:noProof/>
              </w:rPr>
              <w:t>2.4.</w:t>
            </w:r>
            <w:r w:rsidR="00CE7007">
              <w:rPr>
                <w:rFonts w:cstheme="minorBidi"/>
                <w:noProof/>
              </w:rPr>
              <w:tab/>
            </w:r>
            <w:r w:rsidR="00CE7007" w:rsidRPr="00683874">
              <w:rPr>
                <w:rStyle w:val="Hipervnculo"/>
                <w:noProof/>
              </w:rPr>
              <w:t>Hechos ocurridos después del periodo contable</w:t>
            </w:r>
            <w:r w:rsidR="00CE7007">
              <w:rPr>
                <w:noProof/>
                <w:webHidden/>
              </w:rPr>
              <w:tab/>
            </w:r>
            <w:r w:rsidR="00CE7007">
              <w:rPr>
                <w:noProof/>
                <w:webHidden/>
              </w:rPr>
              <w:fldChar w:fldCharType="begin"/>
            </w:r>
            <w:r w:rsidR="00CE7007">
              <w:rPr>
                <w:noProof/>
                <w:webHidden/>
              </w:rPr>
              <w:instrText xml:space="preserve"> PAGEREF _Toc99455298 \h </w:instrText>
            </w:r>
            <w:r w:rsidR="00CE7007">
              <w:rPr>
                <w:noProof/>
                <w:webHidden/>
              </w:rPr>
            </w:r>
            <w:r w:rsidR="00CE7007">
              <w:rPr>
                <w:noProof/>
                <w:webHidden/>
              </w:rPr>
              <w:fldChar w:fldCharType="separate"/>
            </w:r>
            <w:r w:rsidR="00CE7007">
              <w:rPr>
                <w:noProof/>
                <w:webHidden/>
              </w:rPr>
              <w:t>11</w:t>
            </w:r>
            <w:r w:rsidR="00CE7007">
              <w:rPr>
                <w:noProof/>
                <w:webHidden/>
              </w:rPr>
              <w:fldChar w:fldCharType="end"/>
            </w:r>
          </w:hyperlink>
        </w:p>
        <w:p w14:paraId="061C05B8" w14:textId="67C41A5E" w:rsidR="00CE7007" w:rsidRDefault="00DA22DF">
          <w:pPr>
            <w:pStyle w:val="TDC2"/>
            <w:tabs>
              <w:tab w:val="left" w:pos="880"/>
              <w:tab w:val="right" w:leader="dot" w:pos="9252"/>
            </w:tabs>
            <w:rPr>
              <w:rFonts w:cstheme="minorBidi"/>
              <w:noProof/>
            </w:rPr>
          </w:pPr>
          <w:hyperlink w:anchor="_Toc99455299" w:history="1">
            <w:r w:rsidR="00CE7007" w:rsidRPr="00683874">
              <w:rPr>
                <w:rStyle w:val="Hipervnculo"/>
                <w:noProof/>
              </w:rPr>
              <w:t>2.5.</w:t>
            </w:r>
            <w:r w:rsidR="00CE7007">
              <w:rPr>
                <w:rFonts w:cstheme="minorBidi"/>
                <w:noProof/>
              </w:rPr>
              <w:tab/>
            </w:r>
            <w:r w:rsidR="00CE7007" w:rsidRPr="00683874">
              <w:rPr>
                <w:rStyle w:val="Hipervnculo"/>
                <w:noProof/>
              </w:rPr>
              <w:t>Otros aspectos</w:t>
            </w:r>
            <w:r w:rsidR="00CE7007">
              <w:rPr>
                <w:noProof/>
                <w:webHidden/>
              </w:rPr>
              <w:tab/>
            </w:r>
            <w:r w:rsidR="00CE7007">
              <w:rPr>
                <w:noProof/>
                <w:webHidden/>
              </w:rPr>
              <w:fldChar w:fldCharType="begin"/>
            </w:r>
            <w:r w:rsidR="00CE7007">
              <w:rPr>
                <w:noProof/>
                <w:webHidden/>
              </w:rPr>
              <w:instrText xml:space="preserve"> PAGEREF _Toc99455299 \h </w:instrText>
            </w:r>
            <w:r w:rsidR="00CE7007">
              <w:rPr>
                <w:noProof/>
                <w:webHidden/>
              </w:rPr>
            </w:r>
            <w:r w:rsidR="00CE7007">
              <w:rPr>
                <w:noProof/>
                <w:webHidden/>
              </w:rPr>
              <w:fldChar w:fldCharType="separate"/>
            </w:r>
            <w:r w:rsidR="00CE7007">
              <w:rPr>
                <w:noProof/>
                <w:webHidden/>
              </w:rPr>
              <w:t>11</w:t>
            </w:r>
            <w:r w:rsidR="00CE7007">
              <w:rPr>
                <w:noProof/>
                <w:webHidden/>
              </w:rPr>
              <w:fldChar w:fldCharType="end"/>
            </w:r>
          </w:hyperlink>
        </w:p>
        <w:p w14:paraId="7C141AD6" w14:textId="5F632AAF" w:rsidR="00CE7007" w:rsidRDefault="00DA22DF">
          <w:pPr>
            <w:pStyle w:val="TDC1"/>
            <w:tabs>
              <w:tab w:val="right" w:leader="dot" w:pos="9252"/>
            </w:tabs>
            <w:rPr>
              <w:rFonts w:asciiTheme="minorHAnsi" w:eastAsiaTheme="minorEastAsia" w:hAnsiTheme="minorHAnsi" w:cstheme="minorBidi"/>
              <w:noProof/>
              <w:lang w:eastAsia="es-CO"/>
            </w:rPr>
          </w:pPr>
          <w:hyperlink w:anchor="_Toc99455300" w:history="1">
            <w:r w:rsidR="00CE7007" w:rsidRPr="00683874">
              <w:rPr>
                <w:rStyle w:val="Hipervnculo"/>
                <w:noProof/>
              </w:rPr>
              <w:t>NOTA 3. JUICIOS, ESTIMACIONES, RIESGOS Y CORRECCIÓN DE ERRORES CONTABLES</w:t>
            </w:r>
            <w:r w:rsidR="00CE7007">
              <w:rPr>
                <w:noProof/>
                <w:webHidden/>
              </w:rPr>
              <w:tab/>
            </w:r>
            <w:r w:rsidR="00CE7007">
              <w:rPr>
                <w:noProof/>
                <w:webHidden/>
              </w:rPr>
              <w:fldChar w:fldCharType="begin"/>
            </w:r>
            <w:r w:rsidR="00CE7007">
              <w:rPr>
                <w:noProof/>
                <w:webHidden/>
              </w:rPr>
              <w:instrText xml:space="preserve"> PAGEREF _Toc99455300 \h </w:instrText>
            </w:r>
            <w:r w:rsidR="00CE7007">
              <w:rPr>
                <w:noProof/>
                <w:webHidden/>
              </w:rPr>
            </w:r>
            <w:r w:rsidR="00CE7007">
              <w:rPr>
                <w:noProof/>
                <w:webHidden/>
              </w:rPr>
              <w:fldChar w:fldCharType="separate"/>
            </w:r>
            <w:r w:rsidR="00CE7007">
              <w:rPr>
                <w:noProof/>
                <w:webHidden/>
              </w:rPr>
              <w:t>12</w:t>
            </w:r>
            <w:r w:rsidR="00CE7007">
              <w:rPr>
                <w:noProof/>
                <w:webHidden/>
              </w:rPr>
              <w:fldChar w:fldCharType="end"/>
            </w:r>
          </w:hyperlink>
        </w:p>
        <w:p w14:paraId="2A569062" w14:textId="6B1106AC" w:rsidR="00CE7007" w:rsidRDefault="00DA22DF">
          <w:pPr>
            <w:pStyle w:val="TDC2"/>
            <w:tabs>
              <w:tab w:val="left" w:pos="880"/>
              <w:tab w:val="right" w:leader="dot" w:pos="9252"/>
            </w:tabs>
            <w:rPr>
              <w:rFonts w:cstheme="minorBidi"/>
              <w:noProof/>
            </w:rPr>
          </w:pPr>
          <w:hyperlink w:anchor="_Toc99455301" w:history="1">
            <w:r w:rsidR="00CE7007" w:rsidRPr="00683874">
              <w:rPr>
                <w:rStyle w:val="Hipervnculo"/>
                <w:noProof/>
              </w:rPr>
              <w:t>3.1.</w:t>
            </w:r>
            <w:r w:rsidR="00CE7007">
              <w:rPr>
                <w:rFonts w:cstheme="minorBidi"/>
                <w:noProof/>
              </w:rPr>
              <w:tab/>
            </w:r>
            <w:r w:rsidR="00CE7007" w:rsidRPr="00683874">
              <w:rPr>
                <w:rStyle w:val="Hipervnculo"/>
                <w:noProof/>
              </w:rPr>
              <w:t>Juicios</w:t>
            </w:r>
            <w:r w:rsidR="00CE7007">
              <w:rPr>
                <w:noProof/>
                <w:webHidden/>
              </w:rPr>
              <w:tab/>
            </w:r>
            <w:r w:rsidR="00CE7007">
              <w:rPr>
                <w:noProof/>
                <w:webHidden/>
              </w:rPr>
              <w:fldChar w:fldCharType="begin"/>
            </w:r>
            <w:r w:rsidR="00CE7007">
              <w:rPr>
                <w:noProof/>
                <w:webHidden/>
              </w:rPr>
              <w:instrText xml:space="preserve"> PAGEREF _Toc99455301 \h </w:instrText>
            </w:r>
            <w:r w:rsidR="00CE7007">
              <w:rPr>
                <w:noProof/>
                <w:webHidden/>
              </w:rPr>
            </w:r>
            <w:r w:rsidR="00CE7007">
              <w:rPr>
                <w:noProof/>
                <w:webHidden/>
              </w:rPr>
              <w:fldChar w:fldCharType="separate"/>
            </w:r>
            <w:r w:rsidR="00CE7007">
              <w:rPr>
                <w:noProof/>
                <w:webHidden/>
              </w:rPr>
              <w:t>12</w:t>
            </w:r>
            <w:r w:rsidR="00CE7007">
              <w:rPr>
                <w:noProof/>
                <w:webHidden/>
              </w:rPr>
              <w:fldChar w:fldCharType="end"/>
            </w:r>
          </w:hyperlink>
        </w:p>
        <w:p w14:paraId="55EDD731" w14:textId="13212B6D" w:rsidR="00CE7007" w:rsidRDefault="00DA22DF">
          <w:pPr>
            <w:pStyle w:val="TDC2"/>
            <w:tabs>
              <w:tab w:val="left" w:pos="880"/>
              <w:tab w:val="right" w:leader="dot" w:pos="9252"/>
            </w:tabs>
            <w:rPr>
              <w:rFonts w:cstheme="minorBidi"/>
              <w:noProof/>
            </w:rPr>
          </w:pPr>
          <w:hyperlink w:anchor="_Toc99455302" w:history="1">
            <w:r w:rsidR="00CE7007" w:rsidRPr="00683874">
              <w:rPr>
                <w:rStyle w:val="Hipervnculo"/>
                <w:noProof/>
              </w:rPr>
              <w:t>3.2.</w:t>
            </w:r>
            <w:r w:rsidR="00CE7007">
              <w:rPr>
                <w:rFonts w:cstheme="minorBidi"/>
                <w:noProof/>
              </w:rPr>
              <w:tab/>
            </w:r>
            <w:r w:rsidR="00CE7007" w:rsidRPr="00683874">
              <w:rPr>
                <w:rStyle w:val="Hipervnculo"/>
                <w:noProof/>
              </w:rPr>
              <w:t>Estimaciones y supuestos</w:t>
            </w:r>
            <w:r w:rsidR="00CE7007">
              <w:rPr>
                <w:noProof/>
                <w:webHidden/>
              </w:rPr>
              <w:tab/>
            </w:r>
            <w:r w:rsidR="00CE7007">
              <w:rPr>
                <w:noProof/>
                <w:webHidden/>
              </w:rPr>
              <w:fldChar w:fldCharType="begin"/>
            </w:r>
            <w:r w:rsidR="00CE7007">
              <w:rPr>
                <w:noProof/>
                <w:webHidden/>
              </w:rPr>
              <w:instrText xml:space="preserve"> PAGEREF _Toc99455302 \h </w:instrText>
            </w:r>
            <w:r w:rsidR="00CE7007">
              <w:rPr>
                <w:noProof/>
                <w:webHidden/>
              </w:rPr>
            </w:r>
            <w:r w:rsidR="00CE7007">
              <w:rPr>
                <w:noProof/>
                <w:webHidden/>
              </w:rPr>
              <w:fldChar w:fldCharType="separate"/>
            </w:r>
            <w:r w:rsidR="00CE7007">
              <w:rPr>
                <w:noProof/>
                <w:webHidden/>
              </w:rPr>
              <w:t>12</w:t>
            </w:r>
            <w:r w:rsidR="00CE7007">
              <w:rPr>
                <w:noProof/>
                <w:webHidden/>
              </w:rPr>
              <w:fldChar w:fldCharType="end"/>
            </w:r>
          </w:hyperlink>
        </w:p>
        <w:p w14:paraId="2065599B" w14:textId="6AA191B5" w:rsidR="00CE7007" w:rsidRDefault="00DA22DF">
          <w:pPr>
            <w:pStyle w:val="TDC2"/>
            <w:tabs>
              <w:tab w:val="left" w:pos="880"/>
              <w:tab w:val="right" w:leader="dot" w:pos="9252"/>
            </w:tabs>
            <w:rPr>
              <w:rFonts w:cstheme="minorBidi"/>
              <w:noProof/>
            </w:rPr>
          </w:pPr>
          <w:hyperlink w:anchor="_Toc99455303" w:history="1">
            <w:r w:rsidR="00CE7007" w:rsidRPr="00683874">
              <w:rPr>
                <w:rStyle w:val="Hipervnculo"/>
                <w:noProof/>
              </w:rPr>
              <w:t>3.3.</w:t>
            </w:r>
            <w:r w:rsidR="00CE7007">
              <w:rPr>
                <w:rFonts w:cstheme="minorBidi"/>
                <w:noProof/>
              </w:rPr>
              <w:tab/>
            </w:r>
            <w:r w:rsidR="00CE7007" w:rsidRPr="00683874">
              <w:rPr>
                <w:rStyle w:val="Hipervnculo"/>
                <w:noProof/>
              </w:rPr>
              <w:t>Correcciones contables</w:t>
            </w:r>
            <w:r w:rsidR="00CE7007">
              <w:rPr>
                <w:noProof/>
                <w:webHidden/>
              </w:rPr>
              <w:tab/>
            </w:r>
            <w:r w:rsidR="00CE7007">
              <w:rPr>
                <w:noProof/>
                <w:webHidden/>
              </w:rPr>
              <w:fldChar w:fldCharType="begin"/>
            </w:r>
            <w:r w:rsidR="00CE7007">
              <w:rPr>
                <w:noProof/>
                <w:webHidden/>
              </w:rPr>
              <w:instrText xml:space="preserve"> PAGEREF _Toc99455303 \h </w:instrText>
            </w:r>
            <w:r w:rsidR="00CE7007">
              <w:rPr>
                <w:noProof/>
                <w:webHidden/>
              </w:rPr>
            </w:r>
            <w:r w:rsidR="00CE7007">
              <w:rPr>
                <w:noProof/>
                <w:webHidden/>
              </w:rPr>
              <w:fldChar w:fldCharType="separate"/>
            </w:r>
            <w:r w:rsidR="00CE7007">
              <w:rPr>
                <w:noProof/>
                <w:webHidden/>
              </w:rPr>
              <w:t>13</w:t>
            </w:r>
            <w:r w:rsidR="00CE7007">
              <w:rPr>
                <w:noProof/>
                <w:webHidden/>
              </w:rPr>
              <w:fldChar w:fldCharType="end"/>
            </w:r>
          </w:hyperlink>
        </w:p>
        <w:p w14:paraId="6B2B4AE0" w14:textId="2EE90FD8" w:rsidR="00CE7007" w:rsidRDefault="00DA22DF">
          <w:pPr>
            <w:pStyle w:val="TDC2"/>
            <w:tabs>
              <w:tab w:val="left" w:pos="880"/>
              <w:tab w:val="right" w:leader="dot" w:pos="9252"/>
            </w:tabs>
            <w:rPr>
              <w:rFonts w:cstheme="minorBidi"/>
              <w:noProof/>
            </w:rPr>
          </w:pPr>
          <w:hyperlink w:anchor="_Toc99455304" w:history="1">
            <w:r w:rsidR="00CE7007" w:rsidRPr="00683874">
              <w:rPr>
                <w:rStyle w:val="Hipervnculo"/>
                <w:noProof/>
              </w:rPr>
              <w:t>3.4.</w:t>
            </w:r>
            <w:r w:rsidR="00CE7007">
              <w:rPr>
                <w:rFonts w:cstheme="minorBidi"/>
                <w:noProof/>
              </w:rPr>
              <w:tab/>
            </w:r>
            <w:r w:rsidR="00CE7007" w:rsidRPr="00683874">
              <w:rPr>
                <w:rStyle w:val="Hipervnculo"/>
                <w:noProof/>
              </w:rPr>
              <w:t>Administración y gestión del riesgo</w:t>
            </w:r>
            <w:r w:rsidR="00CE7007">
              <w:rPr>
                <w:noProof/>
                <w:webHidden/>
              </w:rPr>
              <w:tab/>
            </w:r>
            <w:r w:rsidR="00CE7007">
              <w:rPr>
                <w:noProof/>
                <w:webHidden/>
              </w:rPr>
              <w:fldChar w:fldCharType="begin"/>
            </w:r>
            <w:r w:rsidR="00CE7007">
              <w:rPr>
                <w:noProof/>
                <w:webHidden/>
              </w:rPr>
              <w:instrText xml:space="preserve"> PAGEREF _Toc99455304 \h </w:instrText>
            </w:r>
            <w:r w:rsidR="00CE7007">
              <w:rPr>
                <w:noProof/>
                <w:webHidden/>
              </w:rPr>
            </w:r>
            <w:r w:rsidR="00CE7007">
              <w:rPr>
                <w:noProof/>
                <w:webHidden/>
              </w:rPr>
              <w:fldChar w:fldCharType="separate"/>
            </w:r>
            <w:r w:rsidR="00CE7007">
              <w:rPr>
                <w:noProof/>
                <w:webHidden/>
              </w:rPr>
              <w:t>14</w:t>
            </w:r>
            <w:r w:rsidR="00CE7007">
              <w:rPr>
                <w:noProof/>
                <w:webHidden/>
              </w:rPr>
              <w:fldChar w:fldCharType="end"/>
            </w:r>
          </w:hyperlink>
        </w:p>
        <w:p w14:paraId="76E45CB9" w14:textId="413694BB" w:rsidR="00CE7007" w:rsidRDefault="00DA22DF">
          <w:pPr>
            <w:pStyle w:val="TDC1"/>
            <w:tabs>
              <w:tab w:val="right" w:leader="dot" w:pos="9252"/>
            </w:tabs>
            <w:rPr>
              <w:rFonts w:asciiTheme="minorHAnsi" w:eastAsiaTheme="minorEastAsia" w:hAnsiTheme="minorHAnsi" w:cstheme="minorBidi"/>
              <w:noProof/>
              <w:lang w:eastAsia="es-CO"/>
            </w:rPr>
          </w:pPr>
          <w:hyperlink w:anchor="_Toc99455305" w:history="1">
            <w:r w:rsidR="00CE7007" w:rsidRPr="00683874">
              <w:rPr>
                <w:rStyle w:val="Hipervnculo"/>
                <w:noProof/>
              </w:rPr>
              <w:t>NOTA 4. RESUMEN DE POLÍTICAS CONTABLES</w:t>
            </w:r>
            <w:r w:rsidR="00CE7007">
              <w:rPr>
                <w:noProof/>
                <w:webHidden/>
              </w:rPr>
              <w:tab/>
            </w:r>
            <w:r w:rsidR="00CE7007">
              <w:rPr>
                <w:noProof/>
                <w:webHidden/>
              </w:rPr>
              <w:fldChar w:fldCharType="begin"/>
            </w:r>
            <w:r w:rsidR="00CE7007">
              <w:rPr>
                <w:noProof/>
                <w:webHidden/>
              </w:rPr>
              <w:instrText xml:space="preserve"> PAGEREF _Toc99455305 \h </w:instrText>
            </w:r>
            <w:r w:rsidR="00CE7007">
              <w:rPr>
                <w:noProof/>
                <w:webHidden/>
              </w:rPr>
            </w:r>
            <w:r w:rsidR="00CE7007">
              <w:rPr>
                <w:noProof/>
                <w:webHidden/>
              </w:rPr>
              <w:fldChar w:fldCharType="separate"/>
            </w:r>
            <w:r w:rsidR="00CE7007">
              <w:rPr>
                <w:noProof/>
                <w:webHidden/>
              </w:rPr>
              <w:t>16</w:t>
            </w:r>
            <w:r w:rsidR="00CE7007">
              <w:rPr>
                <w:noProof/>
                <w:webHidden/>
              </w:rPr>
              <w:fldChar w:fldCharType="end"/>
            </w:r>
          </w:hyperlink>
        </w:p>
        <w:p w14:paraId="31C60E08" w14:textId="13F21FCA" w:rsidR="00CE7007" w:rsidRDefault="00DA22DF">
          <w:pPr>
            <w:pStyle w:val="TDC1"/>
            <w:tabs>
              <w:tab w:val="right" w:leader="dot" w:pos="9252"/>
            </w:tabs>
            <w:rPr>
              <w:rFonts w:asciiTheme="minorHAnsi" w:eastAsiaTheme="minorEastAsia" w:hAnsiTheme="minorHAnsi" w:cstheme="minorBidi"/>
              <w:noProof/>
              <w:lang w:eastAsia="es-CO"/>
            </w:rPr>
          </w:pPr>
          <w:hyperlink w:anchor="_Toc99455306" w:history="1">
            <w:r w:rsidR="00CE7007" w:rsidRPr="00683874">
              <w:rPr>
                <w:rStyle w:val="Hipervnculo"/>
                <w:noProof/>
              </w:rPr>
              <w:t>NOTA 5. EFECTIVO Y EQUIVALENTES AL EFECTIVO</w:t>
            </w:r>
            <w:r w:rsidR="00CE7007">
              <w:rPr>
                <w:noProof/>
                <w:webHidden/>
              </w:rPr>
              <w:tab/>
            </w:r>
            <w:r w:rsidR="00CE7007">
              <w:rPr>
                <w:noProof/>
                <w:webHidden/>
              </w:rPr>
              <w:fldChar w:fldCharType="begin"/>
            </w:r>
            <w:r w:rsidR="00CE7007">
              <w:rPr>
                <w:noProof/>
                <w:webHidden/>
              </w:rPr>
              <w:instrText xml:space="preserve"> PAGEREF _Toc99455306 \h </w:instrText>
            </w:r>
            <w:r w:rsidR="00CE7007">
              <w:rPr>
                <w:noProof/>
                <w:webHidden/>
              </w:rPr>
            </w:r>
            <w:r w:rsidR="00CE7007">
              <w:rPr>
                <w:noProof/>
                <w:webHidden/>
              </w:rPr>
              <w:fldChar w:fldCharType="separate"/>
            </w:r>
            <w:r w:rsidR="00CE7007">
              <w:rPr>
                <w:noProof/>
                <w:webHidden/>
              </w:rPr>
              <w:t>23</w:t>
            </w:r>
            <w:r w:rsidR="00CE7007">
              <w:rPr>
                <w:noProof/>
                <w:webHidden/>
              </w:rPr>
              <w:fldChar w:fldCharType="end"/>
            </w:r>
          </w:hyperlink>
        </w:p>
        <w:p w14:paraId="1615273E" w14:textId="3CB81EBD" w:rsidR="00CE7007" w:rsidRDefault="00DA22DF">
          <w:pPr>
            <w:pStyle w:val="TDC2"/>
            <w:tabs>
              <w:tab w:val="right" w:leader="dot" w:pos="9252"/>
            </w:tabs>
            <w:rPr>
              <w:rFonts w:cstheme="minorBidi"/>
              <w:noProof/>
            </w:rPr>
          </w:pPr>
          <w:hyperlink w:anchor="_Toc99455307"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_Toc99455307 \h </w:instrText>
            </w:r>
            <w:r w:rsidR="00CE7007">
              <w:rPr>
                <w:noProof/>
                <w:webHidden/>
              </w:rPr>
            </w:r>
            <w:r w:rsidR="00CE7007">
              <w:rPr>
                <w:noProof/>
                <w:webHidden/>
              </w:rPr>
              <w:fldChar w:fldCharType="separate"/>
            </w:r>
            <w:r w:rsidR="00CE7007">
              <w:rPr>
                <w:noProof/>
                <w:webHidden/>
              </w:rPr>
              <w:t>23</w:t>
            </w:r>
            <w:r w:rsidR="00CE7007">
              <w:rPr>
                <w:noProof/>
                <w:webHidden/>
              </w:rPr>
              <w:fldChar w:fldCharType="end"/>
            </w:r>
          </w:hyperlink>
        </w:p>
        <w:p w14:paraId="448F434D" w14:textId="0A8116C3" w:rsidR="00CE7007" w:rsidRDefault="00DA22DF">
          <w:pPr>
            <w:pStyle w:val="TDC2"/>
            <w:tabs>
              <w:tab w:val="left" w:pos="880"/>
              <w:tab w:val="right" w:leader="dot" w:pos="9252"/>
            </w:tabs>
            <w:rPr>
              <w:rFonts w:cstheme="minorBidi"/>
              <w:noProof/>
            </w:rPr>
          </w:pPr>
          <w:hyperlink w:anchor="_Toc99455308" w:history="1">
            <w:r w:rsidR="00CE7007" w:rsidRPr="00683874">
              <w:rPr>
                <w:rStyle w:val="Hipervnculo"/>
                <w:noProof/>
              </w:rPr>
              <w:t>5.1.</w:t>
            </w:r>
            <w:r w:rsidR="00CE7007">
              <w:rPr>
                <w:rFonts w:cstheme="minorBidi"/>
                <w:noProof/>
              </w:rPr>
              <w:tab/>
            </w:r>
            <w:r w:rsidR="00CE7007" w:rsidRPr="00683874">
              <w:rPr>
                <w:rStyle w:val="Hipervnculo"/>
                <w:noProof/>
              </w:rPr>
              <w:t>Depósitos en instituciones financieras</w:t>
            </w:r>
            <w:r w:rsidR="00CE7007">
              <w:rPr>
                <w:noProof/>
                <w:webHidden/>
              </w:rPr>
              <w:tab/>
            </w:r>
            <w:r w:rsidR="00CE7007">
              <w:rPr>
                <w:noProof/>
                <w:webHidden/>
              </w:rPr>
              <w:fldChar w:fldCharType="begin"/>
            </w:r>
            <w:r w:rsidR="00CE7007">
              <w:rPr>
                <w:noProof/>
                <w:webHidden/>
              </w:rPr>
              <w:instrText xml:space="preserve"> PAGEREF _Toc99455308 \h </w:instrText>
            </w:r>
            <w:r w:rsidR="00CE7007">
              <w:rPr>
                <w:noProof/>
                <w:webHidden/>
              </w:rPr>
            </w:r>
            <w:r w:rsidR="00CE7007">
              <w:rPr>
                <w:noProof/>
                <w:webHidden/>
              </w:rPr>
              <w:fldChar w:fldCharType="separate"/>
            </w:r>
            <w:r w:rsidR="00CE7007">
              <w:rPr>
                <w:noProof/>
                <w:webHidden/>
              </w:rPr>
              <w:t>23</w:t>
            </w:r>
            <w:r w:rsidR="00CE7007">
              <w:rPr>
                <w:noProof/>
                <w:webHidden/>
              </w:rPr>
              <w:fldChar w:fldCharType="end"/>
            </w:r>
          </w:hyperlink>
        </w:p>
        <w:p w14:paraId="4715A947" w14:textId="33282CD5" w:rsidR="00CE7007" w:rsidRDefault="00DA22DF">
          <w:pPr>
            <w:pStyle w:val="TDC1"/>
            <w:tabs>
              <w:tab w:val="right" w:leader="dot" w:pos="9252"/>
            </w:tabs>
            <w:rPr>
              <w:rFonts w:asciiTheme="minorHAnsi" w:eastAsiaTheme="minorEastAsia" w:hAnsiTheme="minorHAnsi" w:cstheme="minorBidi"/>
              <w:noProof/>
              <w:lang w:eastAsia="es-CO"/>
            </w:rPr>
          </w:pPr>
          <w:hyperlink w:anchor="_Toc99455309" w:history="1">
            <w:r w:rsidR="00CE7007" w:rsidRPr="00683874">
              <w:rPr>
                <w:rStyle w:val="Hipervnculo"/>
                <w:noProof/>
              </w:rPr>
              <w:t>NOTA 6. INVERSIONES E INSTRUMENTOS DERIVADOS</w:t>
            </w:r>
            <w:r w:rsidR="00CE7007">
              <w:rPr>
                <w:noProof/>
                <w:webHidden/>
              </w:rPr>
              <w:tab/>
            </w:r>
            <w:r w:rsidR="00CE7007">
              <w:rPr>
                <w:noProof/>
                <w:webHidden/>
              </w:rPr>
              <w:fldChar w:fldCharType="begin"/>
            </w:r>
            <w:r w:rsidR="00CE7007">
              <w:rPr>
                <w:noProof/>
                <w:webHidden/>
              </w:rPr>
              <w:instrText xml:space="preserve"> PAGEREF _Toc99455309 \h </w:instrText>
            </w:r>
            <w:r w:rsidR="00CE7007">
              <w:rPr>
                <w:noProof/>
                <w:webHidden/>
              </w:rPr>
            </w:r>
            <w:r w:rsidR="00CE7007">
              <w:rPr>
                <w:noProof/>
                <w:webHidden/>
              </w:rPr>
              <w:fldChar w:fldCharType="separate"/>
            </w:r>
            <w:r w:rsidR="00CE7007">
              <w:rPr>
                <w:noProof/>
                <w:webHidden/>
              </w:rPr>
              <w:t>24</w:t>
            </w:r>
            <w:r w:rsidR="00CE7007">
              <w:rPr>
                <w:noProof/>
                <w:webHidden/>
              </w:rPr>
              <w:fldChar w:fldCharType="end"/>
            </w:r>
          </w:hyperlink>
        </w:p>
        <w:p w14:paraId="250BED80" w14:textId="30FAF5E5" w:rsidR="00CE7007" w:rsidRDefault="00DA22DF">
          <w:pPr>
            <w:pStyle w:val="TDC2"/>
            <w:tabs>
              <w:tab w:val="right" w:leader="dot" w:pos="9252"/>
            </w:tabs>
            <w:rPr>
              <w:rFonts w:cstheme="minorBidi"/>
              <w:noProof/>
            </w:rPr>
          </w:pPr>
          <w:hyperlink w:anchor="_Toc99455310"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_Toc99455310 \h </w:instrText>
            </w:r>
            <w:r w:rsidR="00CE7007">
              <w:rPr>
                <w:noProof/>
                <w:webHidden/>
              </w:rPr>
            </w:r>
            <w:r w:rsidR="00CE7007">
              <w:rPr>
                <w:noProof/>
                <w:webHidden/>
              </w:rPr>
              <w:fldChar w:fldCharType="separate"/>
            </w:r>
            <w:r w:rsidR="00CE7007">
              <w:rPr>
                <w:noProof/>
                <w:webHidden/>
              </w:rPr>
              <w:t>24</w:t>
            </w:r>
            <w:r w:rsidR="00CE7007">
              <w:rPr>
                <w:noProof/>
                <w:webHidden/>
              </w:rPr>
              <w:fldChar w:fldCharType="end"/>
            </w:r>
          </w:hyperlink>
        </w:p>
        <w:p w14:paraId="55A2FFC5" w14:textId="2EFFEF57" w:rsidR="00CE7007" w:rsidRDefault="00DA22DF">
          <w:pPr>
            <w:pStyle w:val="TDC2"/>
            <w:tabs>
              <w:tab w:val="left" w:pos="880"/>
              <w:tab w:val="right" w:leader="dot" w:pos="9252"/>
            </w:tabs>
            <w:rPr>
              <w:rFonts w:cstheme="minorBidi"/>
              <w:noProof/>
            </w:rPr>
          </w:pPr>
          <w:hyperlink w:anchor="_Toc99455311" w:history="1">
            <w:r w:rsidR="00CE7007" w:rsidRPr="00683874">
              <w:rPr>
                <w:rStyle w:val="Hipervnculo"/>
                <w:noProof/>
              </w:rPr>
              <w:t>6.1.</w:t>
            </w:r>
            <w:r w:rsidR="00CE7007">
              <w:rPr>
                <w:rFonts w:cstheme="minorBidi"/>
                <w:noProof/>
              </w:rPr>
              <w:tab/>
            </w:r>
            <w:r w:rsidR="00CE7007" w:rsidRPr="00683874">
              <w:rPr>
                <w:rStyle w:val="Hipervnculo"/>
                <w:noProof/>
              </w:rPr>
              <w:t>Inversiones de administración de liquidez</w:t>
            </w:r>
            <w:r w:rsidR="00CE7007">
              <w:rPr>
                <w:noProof/>
                <w:webHidden/>
              </w:rPr>
              <w:tab/>
            </w:r>
            <w:r w:rsidR="00CE7007">
              <w:rPr>
                <w:noProof/>
                <w:webHidden/>
              </w:rPr>
              <w:fldChar w:fldCharType="begin"/>
            </w:r>
            <w:r w:rsidR="00CE7007">
              <w:rPr>
                <w:noProof/>
                <w:webHidden/>
              </w:rPr>
              <w:instrText xml:space="preserve"> PAGEREF _Toc99455311 \h </w:instrText>
            </w:r>
            <w:r w:rsidR="00CE7007">
              <w:rPr>
                <w:noProof/>
                <w:webHidden/>
              </w:rPr>
            </w:r>
            <w:r w:rsidR="00CE7007">
              <w:rPr>
                <w:noProof/>
                <w:webHidden/>
              </w:rPr>
              <w:fldChar w:fldCharType="separate"/>
            </w:r>
            <w:r w:rsidR="00CE7007">
              <w:rPr>
                <w:noProof/>
                <w:webHidden/>
              </w:rPr>
              <w:t>25</w:t>
            </w:r>
            <w:r w:rsidR="00CE7007">
              <w:rPr>
                <w:noProof/>
                <w:webHidden/>
              </w:rPr>
              <w:fldChar w:fldCharType="end"/>
            </w:r>
          </w:hyperlink>
        </w:p>
        <w:p w14:paraId="693B1237" w14:textId="09334FF3" w:rsidR="00CE7007" w:rsidRDefault="00DA22DF">
          <w:pPr>
            <w:pStyle w:val="TDC1"/>
            <w:tabs>
              <w:tab w:val="right" w:leader="dot" w:pos="9252"/>
            </w:tabs>
            <w:rPr>
              <w:rFonts w:asciiTheme="minorHAnsi" w:eastAsiaTheme="minorEastAsia" w:hAnsiTheme="minorHAnsi" w:cstheme="minorBidi"/>
              <w:noProof/>
              <w:lang w:eastAsia="es-CO"/>
            </w:rPr>
          </w:pPr>
          <w:hyperlink w:anchor="_Toc99455312" w:history="1">
            <w:r w:rsidR="00CE7007" w:rsidRPr="00683874">
              <w:rPr>
                <w:rStyle w:val="Hipervnculo"/>
                <w:noProof/>
              </w:rPr>
              <w:t>NOTA 7. CUENTAS POR COBRAR</w:t>
            </w:r>
            <w:r w:rsidR="00CE7007">
              <w:rPr>
                <w:noProof/>
                <w:webHidden/>
              </w:rPr>
              <w:tab/>
            </w:r>
            <w:r w:rsidR="00CE7007">
              <w:rPr>
                <w:noProof/>
                <w:webHidden/>
              </w:rPr>
              <w:fldChar w:fldCharType="begin"/>
            </w:r>
            <w:r w:rsidR="00CE7007">
              <w:rPr>
                <w:noProof/>
                <w:webHidden/>
              </w:rPr>
              <w:instrText xml:space="preserve"> PAGEREF _Toc99455312 \h </w:instrText>
            </w:r>
            <w:r w:rsidR="00CE7007">
              <w:rPr>
                <w:noProof/>
                <w:webHidden/>
              </w:rPr>
            </w:r>
            <w:r w:rsidR="00CE7007">
              <w:rPr>
                <w:noProof/>
                <w:webHidden/>
              </w:rPr>
              <w:fldChar w:fldCharType="separate"/>
            </w:r>
            <w:r w:rsidR="00CE7007">
              <w:rPr>
                <w:noProof/>
                <w:webHidden/>
              </w:rPr>
              <w:t>26</w:t>
            </w:r>
            <w:r w:rsidR="00CE7007">
              <w:rPr>
                <w:noProof/>
                <w:webHidden/>
              </w:rPr>
              <w:fldChar w:fldCharType="end"/>
            </w:r>
          </w:hyperlink>
        </w:p>
        <w:p w14:paraId="1A36A62B" w14:textId="0FB4A396" w:rsidR="00CE7007" w:rsidRDefault="00DA22DF">
          <w:pPr>
            <w:pStyle w:val="TDC2"/>
            <w:tabs>
              <w:tab w:val="right" w:leader="dot" w:pos="9252"/>
            </w:tabs>
            <w:rPr>
              <w:rFonts w:cstheme="minorBidi"/>
              <w:noProof/>
            </w:rPr>
          </w:pPr>
          <w:hyperlink w:anchor="_Toc99455313"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_Toc99455313 \h </w:instrText>
            </w:r>
            <w:r w:rsidR="00CE7007">
              <w:rPr>
                <w:noProof/>
                <w:webHidden/>
              </w:rPr>
            </w:r>
            <w:r w:rsidR="00CE7007">
              <w:rPr>
                <w:noProof/>
                <w:webHidden/>
              </w:rPr>
              <w:fldChar w:fldCharType="separate"/>
            </w:r>
            <w:r w:rsidR="00CE7007">
              <w:rPr>
                <w:noProof/>
                <w:webHidden/>
              </w:rPr>
              <w:t>26</w:t>
            </w:r>
            <w:r w:rsidR="00CE7007">
              <w:rPr>
                <w:noProof/>
                <w:webHidden/>
              </w:rPr>
              <w:fldChar w:fldCharType="end"/>
            </w:r>
          </w:hyperlink>
        </w:p>
        <w:p w14:paraId="11D3A26B" w14:textId="258B3982" w:rsidR="00CE7007" w:rsidRDefault="00DA22DF">
          <w:pPr>
            <w:pStyle w:val="TDC2"/>
            <w:tabs>
              <w:tab w:val="right" w:leader="dot" w:pos="9252"/>
            </w:tabs>
            <w:rPr>
              <w:rFonts w:cstheme="minorBidi"/>
              <w:noProof/>
            </w:rPr>
          </w:pPr>
          <w:hyperlink w:anchor="_Toc99455315" w:history="1">
            <w:r w:rsidR="00CE7007" w:rsidRPr="00683874">
              <w:rPr>
                <w:rStyle w:val="Hipervnculo"/>
                <w:noProof/>
              </w:rPr>
              <w:t>Análisis de vencimientos de la cartera por prestación de servicios</w:t>
            </w:r>
            <w:r w:rsidR="00CE7007">
              <w:rPr>
                <w:noProof/>
                <w:webHidden/>
              </w:rPr>
              <w:tab/>
            </w:r>
            <w:r w:rsidR="00CE7007">
              <w:rPr>
                <w:noProof/>
                <w:webHidden/>
              </w:rPr>
              <w:fldChar w:fldCharType="begin"/>
            </w:r>
            <w:r w:rsidR="00CE7007">
              <w:rPr>
                <w:noProof/>
                <w:webHidden/>
              </w:rPr>
              <w:instrText xml:space="preserve"> PAGEREF _Toc99455315 \h </w:instrText>
            </w:r>
            <w:r w:rsidR="00CE7007">
              <w:rPr>
                <w:noProof/>
                <w:webHidden/>
              </w:rPr>
            </w:r>
            <w:r w:rsidR="00CE7007">
              <w:rPr>
                <w:noProof/>
                <w:webHidden/>
              </w:rPr>
              <w:fldChar w:fldCharType="separate"/>
            </w:r>
            <w:r w:rsidR="00CE7007">
              <w:rPr>
                <w:noProof/>
                <w:webHidden/>
              </w:rPr>
              <w:t>28</w:t>
            </w:r>
            <w:r w:rsidR="00CE7007">
              <w:rPr>
                <w:noProof/>
                <w:webHidden/>
              </w:rPr>
              <w:fldChar w:fldCharType="end"/>
            </w:r>
          </w:hyperlink>
        </w:p>
        <w:p w14:paraId="7F0AA075" w14:textId="73A3B158" w:rsidR="00CE7007" w:rsidRDefault="00DA22DF">
          <w:pPr>
            <w:pStyle w:val="TDC1"/>
            <w:tabs>
              <w:tab w:val="right" w:leader="dot" w:pos="9252"/>
            </w:tabs>
            <w:rPr>
              <w:rFonts w:asciiTheme="minorHAnsi" w:eastAsiaTheme="minorEastAsia" w:hAnsiTheme="minorHAnsi" w:cstheme="minorBidi"/>
              <w:noProof/>
              <w:lang w:eastAsia="es-CO"/>
            </w:rPr>
          </w:pPr>
          <w:hyperlink w:anchor="_Toc99455316" w:history="1">
            <w:r w:rsidR="00CE7007" w:rsidRPr="00683874">
              <w:rPr>
                <w:rStyle w:val="Hipervnculo"/>
                <w:noProof/>
              </w:rPr>
              <w:t>NOTA 10. PROPIEDADES, PLANTA Y EQUIPO</w:t>
            </w:r>
            <w:r w:rsidR="00CE7007">
              <w:rPr>
                <w:noProof/>
                <w:webHidden/>
              </w:rPr>
              <w:tab/>
            </w:r>
            <w:r w:rsidR="00CE7007">
              <w:rPr>
                <w:noProof/>
                <w:webHidden/>
              </w:rPr>
              <w:fldChar w:fldCharType="begin"/>
            </w:r>
            <w:r w:rsidR="00CE7007">
              <w:rPr>
                <w:noProof/>
                <w:webHidden/>
              </w:rPr>
              <w:instrText xml:space="preserve"> PAGEREF _Toc99455316 \h </w:instrText>
            </w:r>
            <w:r w:rsidR="00CE7007">
              <w:rPr>
                <w:noProof/>
                <w:webHidden/>
              </w:rPr>
            </w:r>
            <w:r w:rsidR="00CE7007">
              <w:rPr>
                <w:noProof/>
                <w:webHidden/>
              </w:rPr>
              <w:fldChar w:fldCharType="separate"/>
            </w:r>
            <w:r w:rsidR="00CE7007">
              <w:rPr>
                <w:noProof/>
                <w:webHidden/>
              </w:rPr>
              <w:t>29</w:t>
            </w:r>
            <w:r w:rsidR="00CE7007">
              <w:rPr>
                <w:noProof/>
                <w:webHidden/>
              </w:rPr>
              <w:fldChar w:fldCharType="end"/>
            </w:r>
          </w:hyperlink>
        </w:p>
        <w:p w14:paraId="55BAB48B" w14:textId="61D2F57D" w:rsidR="00CE7007" w:rsidRDefault="00DA22DF">
          <w:pPr>
            <w:pStyle w:val="TDC2"/>
            <w:tabs>
              <w:tab w:val="right" w:leader="dot" w:pos="9252"/>
            </w:tabs>
            <w:rPr>
              <w:rFonts w:cstheme="minorBidi"/>
              <w:noProof/>
            </w:rPr>
          </w:pPr>
          <w:hyperlink w:anchor="_Toc99455317"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_Toc99455317 \h </w:instrText>
            </w:r>
            <w:r w:rsidR="00CE7007">
              <w:rPr>
                <w:noProof/>
                <w:webHidden/>
              </w:rPr>
            </w:r>
            <w:r w:rsidR="00CE7007">
              <w:rPr>
                <w:noProof/>
                <w:webHidden/>
              </w:rPr>
              <w:fldChar w:fldCharType="separate"/>
            </w:r>
            <w:r w:rsidR="00CE7007">
              <w:rPr>
                <w:noProof/>
                <w:webHidden/>
              </w:rPr>
              <w:t>29</w:t>
            </w:r>
            <w:r w:rsidR="00CE7007">
              <w:rPr>
                <w:noProof/>
                <w:webHidden/>
              </w:rPr>
              <w:fldChar w:fldCharType="end"/>
            </w:r>
          </w:hyperlink>
        </w:p>
        <w:p w14:paraId="76AD2510" w14:textId="656BFAF7" w:rsidR="00CE7007" w:rsidRDefault="00DA22DF">
          <w:pPr>
            <w:pStyle w:val="TDC2"/>
            <w:tabs>
              <w:tab w:val="left" w:pos="1100"/>
              <w:tab w:val="right" w:leader="dot" w:pos="9252"/>
            </w:tabs>
            <w:rPr>
              <w:rFonts w:cstheme="minorBidi"/>
              <w:noProof/>
            </w:rPr>
          </w:pPr>
          <w:hyperlink w:anchor="_Toc99455318" w:history="1">
            <w:r w:rsidR="00CE7007" w:rsidRPr="00683874">
              <w:rPr>
                <w:rStyle w:val="Hipervnculo"/>
                <w:noProof/>
              </w:rPr>
              <w:t>10.1.</w:t>
            </w:r>
            <w:r w:rsidR="00CE7007">
              <w:rPr>
                <w:rFonts w:cstheme="minorBidi"/>
                <w:noProof/>
              </w:rPr>
              <w:tab/>
            </w:r>
            <w:r w:rsidR="00CE7007" w:rsidRPr="00683874">
              <w:rPr>
                <w:rStyle w:val="Hipervnculo"/>
                <w:noProof/>
              </w:rPr>
              <w:t>Detalle saldos y movimientos PPE – Muebles</w:t>
            </w:r>
            <w:r w:rsidR="00CE7007">
              <w:rPr>
                <w:noProof/>
                <w:webHidden/>
              </w:rPr>
              <w:tab/>
            </w:r>
            <w:r w:rsidR="00CE7007">
              <w:rPr>
                <w:noProof/>
                <w:webHidden/>
              </w:rPr>
              <w:fldChar w:fldCharType="begin"/>
            </w:r>
            <w:r w:rsidR="00CE7007">
              <w:rPr>
                <w:noProof/>
                <w:webHidden/>
              </w:rPr>
              <w:instrText xml:space="preserve"> PAGEREF _Toc99455318 \h </w:instrText>
            </w:r>
            <w:r w:rsidR="00CE7007">
              <w:rPr>
                <w:noProof/>
                <w:webHidden/>
              </w:rPr>
            </w:r>
            <w:r w:rsidR="00CE7007">
              <w:rPr>
                <w:noProof/>
                <w:webHidden/>
              </w:rPr>
              <w:fldChar w:fldCharType="separate"/>
            </w:r>
            <w:r w:rsidR="00CE7007">
              <w:rPr>
                <w:noProof/>
                <w:webHidden/>
              </w:rPr>
              <w:t>30</w:t>
            </w:r>
            <w:r w:rsidR="00CE7007">
              <w:rPr>
                <w:noProof/>
                <w:webHidden/>
              </w:rPr>
              <w:fldChar w:fldCharType="end"/>
            </w:r>
          </w:hyperlink>
        </w:p>
        <w:p w14:paraId="6B73DE95" w14:textId="347B53E1" w:rsidR="00CE7007" w:rsidRDefault="00DA22DF">
          <w:pPr>
            <w:pStyle w:val="TDC2"/>
            <w:tabs>
              <w:tab w:val="left" w:pos="1100"/>
              <w:tab w:val="right" w:leader="dot" w:pos="9252"/>
            </w:tabs>
            <w:rPr>
              <w:rFonts w:cstheme="minorBidi"/>
              <w:noProof/>
            </w:rPr>
          </w:pPr>
          <w:hyperlink w:anchor="_Toc99455319" w:history="1">
            <w:r w:rsidR="00CE7007" w:rsidRPr="00683874">
              <w:rPr>
                <w:rStyle w:val="Hipervnculo"/>
                <w:noProof/>
              </w:rPr>
              <w:t>10.2.</w:t>
            </w:r>
            <w:r w:rsidR="00CE7007">
              <w:rPr>
                <w:rFonts w:cstheme="minorBidi"/>
                <w:noProof/>
              </w:rPr>
              <w:tab/>
            </w:r>
            <w:r w:rsidR="00CE7007" w:rsidRPr="00683874">
              <w:rPr>
                <w:rStyle w:val="Hipervnculo"/>
                <w:noProof/>
              </w:rPr>
              <w:t>Detalle saldos y movimientos PPE – Inmuebles</w:t>
            </w:r>
            <w:r w:rsidR="00CE7007">
              <w:rPr>
                <w:noProof/>
                <w:webHidden/>
              </w:rPr>
              <w:tab/>
            </w:r>
            <w:r w:rsidR="00CE7007">
              <w:rPr>
                <w:noProof/>
                <w:webHidden/>
              </w:rPr>
              <w:fldChar w:fldCharType="begin"/>
            </w:r>
            <w:r w:rsidR="00CE7007">
              <w:rPr>
                <w:noProof/>
                <w:webHidden/>
              </w:rPr>
              <w:instrText xml:space="preserve"> PAGEREF _Toc99455319 \h </w:instrText>
            </w:r>
            <w:r w:rsidR="00CE7007">
              <w:rPr>
                <w:noProof/>
                <w:webHidden/>
              </w:rPr>
            </w:r>
            <w:r w:rsidR="00CE7007">
              <w:rPr>
                <w:noProof/>
                <w:webHidden/>
              </w:rPr>
              <w:fldChar w:fldCharType="separate"/>
            </w:r>
            <w:r w:rsidR="00CE7007">
              <w:rPr>
                <w:noProof/>
                <w:webHidden/>
              </w:rPr>
              <w:t>31</w:t>
            </w:r>
            <w:r w:rsidR="00CE7007">
              <w:rPr>
                <w:noProof/>
                <w:webHidden/>
              </w:rPr>
              <w:fldChar w:fldCharType="end"/>
            </w:r>
          </w:hyperlink>
        </w:p>
        <w:p w14:paraId="572ED910" w14:textId="3EAA8302" w:rsidR="00CE7007" w:rsidRDefault="00DA22DF">
          <w:pPr>
            <w:pStyle w:val="TDC2"/>
            <w:tabs>
              <w:tab w:val="left" w:pos="1100"/>
              <w:tab w:val="right" w:leader="dot" w:pos="9252"/>
            </w:tabs>
            <w:rPr>
              <w:rFonts w:cstheme="minorBidi"/>
              <w:noProof/>
            </w:rPr>
          </w:pPr>
          <w:hyperlink w:anchor="_Toc99455320" w:history="1">
            <w:r w:rsidR="00CE7007" w:rsidRPr="00683874">
              <w:rPr>
                <w:rStyle w:val="Hipervnculo"/>
                <w:noProof/>
              </w:rPr>
              <w:t>10.3.</w:t>
            </w:r>
            <w:r w:rsidR="00CE7007">
              <w:rPr>
                <w:rFonts w:cstheme="minorBidi"/>
                <w:noProof/>
              </w:rPr>
              <w:tab/>
            </w:r>
            <w:r w:rsidR="00CE7007" w:rsidRPr="00683874">
              <w:rPr>
                <w:rStyle w:val="Hipervnculo"/>
                <w:noProof/>
              </w:rPr>
              <w:t>Estimaciones</w:t>
            </w:r>
            <w:r w:rsidR="00CE7007">
              <w:rPr>
                <w:noProof/>
                <w:webHidden/>
              </w:rPr>
              <w:tab/>
            </w:r>
            <w:r w:rsidR="00CE7007">
              <w:rPr>
                <w:noProof/>
                <w:webHidden/>
              </w:rPr>
              <w:fldChar w:fldCharType="begin"/>
            </w:r>
            <w:r w:rsidR="00CE7007">
              <w:rPr>
                <w:noProof/>
                <w:webHidden/>
              </w:rPr>
              <w:instrText xml:space="preserve"> PAGEREF _Toc99455320 \h </w:instrText>
            </w:r>
            <w:r w:rsidR="00CE7007">
              <w:rPr>
                <w:noProof/>
                <w:webHidden/>
              </w:rPr>
            </w:r>
            <w:r w:rsidR="00CE7007">
              <w:rPr>
                <w:noProof/>
                <w:webHidden/>
              </w:rPr>
              <w:fldChar w:fldCharType="separate"/>
            </w:r>
            <w:r w:rsidR="00CE7007">
              <w:rPr>
                <w:noProof/>
                <w:webHidden/>
              </w:rPr>
              <w:t>32</w:t>
            </w:r>
            <w:r w:rsidR="00CE7007">
              <w:rPr>
                <w:noProof/>
                <w:webHidden/>
              </w:rPr>
              <w:fldChar w:fldCharType="end"/>
            </w:r>
          </w:hyperlink>
        </w:p>
        <w:p w14:paraId="3B4A1A0C" w14:textId="217A40B2" w:rsidR="00CE7007" w:rsidRDefault="00DA22DF">
          <w:pPr>
            <w:pStyle w:val="TDC1"/>
            <w:tabs>
              <w:tab w:val="right" w:leader="dot" w:pos="9252"/>
            </w:tabs>
            <w:rPr>
              <w:rFonts w:asciiTheme="minorHAnsi" w:eastAsiaTheme="minorEastAsia" w:hAnsiTheme="minorHAnsi" w:cstheme="minorBidi"/>
              <w:noProof/>
              <w:lang w:eastAsia="es-CO"/>
            </w:rPr>
          </w:pPr>
          <w:hyperlink w:anchor="_Toc99455321" w:history="1">
            <w:r w:rsidR="00CE7007" w:rsidRPr="00683874">
              <w:rPr>
                <w:rStyle w:val="Hipervnculo"/>
                <w:noProof/>
              </w:rPr>
              <w:t>NOTA 13. PROPIEDADES DE INVERSIÓN</w:t>
            </w:r>
            <w:r w:rsidR="00CE7007">
              <w:rPr>
                <w:noProof/>
                <w:webHidden/>
              </w:rPr>
              <w:tab/>
            </w:r>
            <w:r w:rsidR="00CE7007">
              <w:rPr>
                <w:noProof/>
                <w:webHidden/>
              </w:rPr>
              <w:fldChar w:fldCharType="begin"/>
            </w:r>
            <w:r w:rsidR="00CE7007">
              <w:rPr>
                <w:noProof/>
                <w:webHidden/>
              </w:rPr>
              <w:instrText xml:space="preserve"> PAGEREF _Toc99455321 \h </w:instrText>
            </w:r>
            <w:r w:rsidR="00CE7007">
              <w:rPr>
                <w:noProof/>
                <w:webHidden/>
              </w:rPr>
            </w:r>
            <w:r w:rsidR="00CE7007">
              <w:rPr>
                <w:noProof/>
                <w:webHidden/>
              </w:rPr>
              <w:fldChar w:fldCharType="separate"/>
            </w:r>
            <w:r w:rsidR="00CE7007">
              <w:rPr>
                <w:noProof/>
                <w:webHidden/>
              </w:rPr>
              <w:t>33</w:t>
            </w:r>
            <w:r w:rsidR="00CE7007">
              <w:rPr>
                <w:noProof/>
                <w:webHidden/>
              </w:rPr>
              <w:fldChar w:fldCharType="end"/>
            </w:r>
          </w:hyperlink>
        </w:p>
        <w:p w14:paraId="24D61308" w14:textId="5DA71AE7" w:rsidR="00CE7007" w:rsidRDefault="00DA22DF">
          <w:pPr>
            <w:pStyle w:val="TDC2"/>
            <w:tabs>
              <w:tab w:val="right" w:leader="dot" w:pos="9252"/>
            </w:tabs>
            <w:rPr>
              <w:rFonts w:cstheme="minorBidi"/>
              <w:noProof/>
            </w:rPr>
          </w:pPr>
          <w:hyperlink w:anchor="_Toc99455322"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_Toc99455322 \h </w:instrText>
            </w:r>
            <w:r w:rsidR="00CE7007">
              <w:rPr>
                <w:noProof/>
                <w:webHidden/>
              </w:rPr>
            </w:r>
            <w:r w:rsidR="00CE7007">
              <w:rPr>
                <w:noProof/>
                <w:webHidden/>
              </w:rPr>
              <w:fldChar w:fldCharType="separate"/>
            </w:r>
            <w:r w:rsidR="00CE7007">
              <w:rPr>
                <w:noProof/>
                <w:webHidden/>
              </w:rPr>
              <w:t>33</w:t>
            </w:r>
            <w:r w:rsidR="00CE7007">
              <w:rPr>
                <w:noProof/>
                <w:webHidden/>
              </w:rPr>
              <w:fldChar w:fldCharType="end"/>
            </w:r>
          </w:hyperlink>
        </w:p>
        <w:p w14:paraId="43A4D71F" w14:textId="40C6BA6F" w:rsidR="00CE7007" w:rsidRDefault="00DA22DF">
          <w:pPr>
            <w:pStyle w:val="TDC2"/>
            <w:tabs>
              <w:tab w:val="left" w:pos="1100"/>
              <w:tab w:val="right" w:leader="dot" w:pos="9252"/>
            </w:tabs>
            <w:rPr>
              <w:rFonts w:cstheme="minorBidi"/>
              <w:noProof/>
            </w:rPr>
          </w:pPr>
          <w:hyperlink w:anchor="_Toc99455323" w:history="1">
            <w:r w:rsidR="00CE7007" w:rsidRPr="00683874">
              <w:rPr>
                <w:rStyle w:val="Hipervnculo"/>
                <w:noProof/>
              </w:rPr>
              <w:t>13.1.</w:t>
            </w:r>
            <w:r w:rsidR="00CE7007">
              <w:rPr>
                <w:rFonts w:cstheme="minorBidi"/>
                <w:noProof/>
              </w:rPr>
              <w:tab/>
            </w:r>
            <w:r w:rsidR="00CE7007" w:rsidRPr="00683874">
              <w:rPr>
                <w:rStyle w:val="Hipervnculo"/>
                <w:noProof/>
              </w:rPr>
              <w:t>Detalle saldos y movimientos</w:t>
            </w:r>
            <w:r w:rsidR="00CE7007">
              <w:rPr>
                <w:noProof/>
                <w:webHidden/>
              </w:rPr>
              <w:tab/>
            </w:r>
            <w:r w:rsidR="00CE7007">
              <w:rPr>
                <w:noProof/>
                <w:webHidden/>
              </w:rPr>
              <w:fldChar w:fldCharType="begin"/>
            </w:r>
            <w:r w:rsidR="00CE7007">
              <w:rPr>
                <w:noProof/>
                <w:webHidden/>
              </w:rPr>
              <w:instrText xml:space="preserve"> PAGEREF _Toc99455323 \h </w:instrText>
            </w:r>
            <w:r w:rsidR="00CE7007">
              <w:rPr>
                <w:noProof/>
                <w:webHidden/>
              </w:rPr>
            </w:r>
            <w:r w:rsidR="00CE7007">
              <w:rPr>
                <w:noProof/>
                <w:webHidden/>
              </w:rPr>
              <w:fldChar w:fldCharType="separate"/>
            </w:r>
            <w:r w:rsidR="00CE7007">
              <w:rPr>
                <w:noProof/>
                <w:webHidden/>
              </w:rPr>
              <w:t>33</w:t>
            </w:r>
            <w:r w:rsidR="00CE7007">
              <w:rPr>
                <w:noProof/>
                <w:webHidden/>
              </w:rPr>
              <w:fldChar w:fldCharType="end"/>
            </w:r>
          </w:hyperlink>
        </w:p>
        <w:p w14:paraId="25DDA977" w14:textId="021F5FDC" w:rsidR="00CE7007" w:rsidRDefault="00DA22DF">
          <w:pPr>
            <w:pStyle w:val="TDC2"/>
            <w:tabs>
              <w:tab w:val="left" w:pos="1100"/>
              <w:tab w:val="right" w:leader="dot" w:pos="9252"/>
            </w:tabs>
            <w:rPr>
              <w:rFonts w:cstheme="minorBidi"/>
              <w:noProof/>
            </w:rPr>
          </w:pPr>
          <w:hyperlink w:anchor="_Toc99455324" w:history="1">
            <w:r w:rsidR="00CE7007" w:rsidRPr="00683874">
              <w:rPr>
                <w:rStyle w:val="Hipervnculo"/>
                <w:noProof/>
              </w:rPr>
              <w:t>13.2.</w:t>
            </w:r>
            <w:r w:rsidR="00CE7007">
              <w:rPr>
                <w:rFonts w:cstheme="minorBidi"/>
                <w:noProof/>
              </w:rPr>
              <w:tab/>
            </w:r>
            <w:r w:rsidR="00CE7007" w:rsidRPr="00683874">
              <w:rPr>
                <w:rStyle w:val="Hipervnculo"/>
                <w:noProof/>
              </w:rPr>
              <w:t>Revelaciones adicionales</w:t>
            </w:r>
            <w:r w:rsidR="00CE7007">
              <w:rPr>
                <w:noProof/>
                <w:webHidden/>
              </w:rPr>
              <w:tab/>
            </w:r>
            <w:r w:rsidR="00CE7007">
              <w:rPr>
                <w:noProof/>
                <w:webHidden/>
              </w:rPr>
              <w:fldChar w:fldCharType="begin"/>
            </w:r>
            <w:r w:rsidR="00CE7007">
              <w:rPr>
                <w:noProof/>
                <w:webHidden/>
              </w:rPr>
              <w:instrText xml:space="preserve"> PAGEREF _Toc99455324 \h </w:instrText>
            </w:r>
            <w:r w:rsidR="00CE7007">
              <w:rPr>
                <w:noProof/>
                <w:webHidden/>
              </w:rPr>
            </w:r>
            <w:r w:rsidR="00CE7007">
              <w:rPr>
                <w:noProof/>
                <w:webHidden/>
              </w:rPr>
              <w:fldChar w:fldCharType="separate"/>
            </w:r>
            <w:r w:rsidR="00CE7007">
              <w:rPr>
                <w:noProof/>
                <w:webHidden/>
              </w:rPr>
              <w:t>34</w:t>
            </w:r>
            <w:r w:rsidR="00CE7007">
              <w:rPr>
                <w:noProof/>
                <w:webHidden/>
              </w:rPr>
              <w:fldChar w:fldCharType="end"/>
            </w:r>
          </w:hyperlink>
        </w:p>
        <w:p w14:paraId="43BAEE9B" w14:textId="6FF3E752" w:rsidR="00CE7007" w:rsidRDefault="00DA22DF">
          <w:pPr>
            <w:pStyle w:val="TDC1"/>
            <w:tabs>
              <w:tab w:val="right" w:leader="dot" w:pos="9252"/>
            </w:tabs>
            <w:rPr>
              <w:rFonts w:asciiTheme="minorHAnsi" w:eastAsiaTheme="minorEastAsia" w:hAnsiTheme="minorHAnsi" w:cstheme="minorBidi"/>
              <w:noProof/>
              <w:lang w:eastAsia="es-CO"/>
            </w:rPr>
          </w:pPr>
          <w:hyperlink w:anchor="_Toc99455325" w:history="1">
            <w:r w:rsidR="00CE7007" w:rsidRPr="00683874">
              <w:rPr>
                <w:rStyle w:val="Hipervnculo"/>
                <w:noProof/>
              </w:rPr>
              <w:t>NOTA 14. ACTIVOS INTANGIBLES</w:t>
            </w:r>
            <w:r w:rsidR="00CE7007">
              <w:rPr>
                <w:noProof/>
                <w:webHidden/>
              </w:rPr>
              <w:tab/>
            </w:r>
            <w:r w:rsidR="00CE7007">
              <w:rPr>
                <w:noProof/>
                <w:webHidden/>
              </w:rPr>
              <w:fldChar w:fldCharType="begin"/>
            </w:r>
            <w:r w:rsidR="00CE7007">
              <w:rPr>
                <w:noProof/>
                <w:webHidden/>
              </w:rPr>
              <w:instrText xml:space="preserve"> PAGEREF _Toc99455325 \h </w:instrText>
            </w:r>
            <w:r w:rsidR="00CE7007">
              <w:rPr>
                <w:noProof/>
                <w:webHidden/>
              </w:rPr>
            </w:r>
            <w:r w:rsidR="00CE7007">
              <w:rPr>
                <w:noProof/>
                <w:webHidden/>
              </w:rPr>
              <w:fldChar w:fldCharType="separate"/>
            </w:r>
            <w:r w:rsidR="00CE7007">
              <w:rPr>
                <w:noProof/>
                <w:webHidden/>
              </w:rPr>
              <w:t>34</w:t>
            </w:r>
            <w:r w:rsidR="00CE7007">
              <w:rPr>
                <w:noProof/>
                <w:webHidden/>
              </w:rPr>
              <w:fldChar w:fldCharType="end"/>
            </w:r>
          </w:hyperlink>
        </w:p>
        <w:p w14:paraId="756088DF" w14:textId="403F7BF7" w:rsidR="00CE7007" w:rsidRDefault="00DA22DF">
          <w:pPr>
            <w:pStyle w:val="TDC2"/>
            <w:tabs>
              <w:tab w:val="right" w:leader="dot" w:pos="9252"/>
            </w:tabs>
            <w:rPr>
              <w:rFonts w:cstheme="minorBidi"/>
              <w:noProof/>
            </w:rPr>
          </w:pPr>
          <w:hyperlink w:anchor="_Toc99455326"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_Toc99455326 \h </w:instrText>
            </w:r>
            <w:r w:rsidR="00CE7007">
              <w:rPr>
                <w:noProof/>
                <w:webHidden/>
              </w:rPr>
            </w:r>
            <w:r w:rsidR="00CE7007">
              <w:rPr>
                <w:noProof/>
                <w:webHidden/>
              </w:rPr>
              <w:fldChar w:fldCharType="separate"/>
            </w:r>
            <w:r w:rsidR="00CE7007">
              <w:rPr>
                <w:noProof/>
                <w:webHidden/>
              </w:rPr>
              <w:t>34</w:t>
            </w:r>
            <w:r w:rsidR="00CE7007">
              <w:rPr>
                <w:noProof/>
                <w:webHidden/>
              </w:rPr>
              <w:fldChar w:fldCharType="end"/>
            </w:r>
          </w:hyperlink>
        </w:p>
        <w:p w14:paraId="136FC7AE" w14:textId="45802A6D" w:rsidR="00CE7007" w:rsidRDefault="00DA22DF">
          <w:pPr>
            <w:pStyle w:val="TDC2"/>
            <w:tabs>
              <w:tab w:val="left" w:pos="1100"/>
              <w:tab w:val="right" w:leader="dot" w:pos="9252"/>
            </w:tabs>
            <w:rPr>
              <w:rFonts w:cstheme="minorBidi"/>
              <w:noProof/>
            </w:rPr>
          </w:pPr>
          <w:hyperlink w:anchor="_Toc99455327" w:history="1">
            <w:r w:rsidR="00CE7007" w:rsidRPr="00683874">
              <w:rPr>
                <w:rStyle w:val="Hipervnculo"/>
                <w:noProof/>
              </w:rPr>
              <w:t>14.1.</w:t>
            </w:r>
            <w:r w:rsidR="00CE7007">
              <w:rPr>
                <w:rFonts w:cstheme="minorBidi"/>
                <w:noProof/>
              </w:rPr>
              <w:tab/>
            </w:r>
            <w:r w:rsidR="00CE7007" w:rsidRPr="00683874">
              <w:rPr>
                <w:rStyle w:val="Hipervnculo"/>
                <w:noProof/>
              </w:rPr>
              <w:t>Detalle saldos y movimientos</w:t>
            </w:r>
            <w:r w:rsidR="00CE7007">
              <w:rPr>
                <w:noProof/>
                <w:webHidden/>
              </w:rPr>
              <w:tab/>
            </w:r>
            <w:r w:rsidR="00CE7007">
              <w:rPr>
                <w:noProof/>
                <w:webHidden/>
              </w:rPr>
              <w:fldChar w:fldCharType="begin"/>
            </w:r>
            <w:r w:rsidR="00CE7007">
              <w:rPr>
                <w:noProof/>
                <w:webHidden/>
              </w:rPr>
              <w:instrText xml:space="preserve"> PAGEREF _Toc99455327 \h </w:instrText>
            </w:r>
            <w:r w:rsidR="00CE7007">
              <w:rPr>
                <w:noProof/>
                <w:webHidden/>
              </w:rPr>
            </w:r>
            <w:r w:rsidR="00CE7007">
              <w:rPr>
                <w:noProof/>
                <w:webHidden/>
              </w:rPr>
              <w:fldChar w:fldCharType="separate"/>
            </w:r>
            <w:r w:rsidR="00CE7007">
              <w:rPr>
                <w:noProof/>
                <w:webHidden/>
              </w:rPr>
              <w:t>36</w:t>
            </w:r>
            <w:r w:rsidR="00CE7007">
              <w:rPr>
                <w:noProof/>
                <w:webHidden/>
              </w:rPr>
              <w:fldChar w:fldCharType="end"/>
            </w:r>
          </w:hyperlink>
        </w:p>
        <w:p w14:paraId="424C0AA5" w14:textId="7608A263" w:rsidR="00CE7007" w:rsidRDefault="00DA22DF">
          <w:pPr>
            <w:pStyle w:val="TDC2"/>
            <w:tabs>
              <w:tab w:val="left" w:pos="1100"/>
              <w:tab w:val="right" w:leader="dot" w:pos="9252"/>
            </w:tabs>
            <w:rPr>
              <w:rFonts w:cstheme="minorBidi"/>
              <w:noProof/>
            </w:rPr>
          </w:pPr>
          <w:hyperlink w:anchor="_Toc99455328" w:history="1">
            <w:r w:rsidR="00CE7007" w:rsidRPr="00683874">
              <w:rPr>
                <w:rStyle w:val="Hipervnculo"/>
                <w:noProof/>
              </w:rPr>
              <w:t>14.2.</w:t>
            </w:r>
            <w:r w:rsidR="00CE7007">
              <w:rPr>
                <w:rFonts w:cstheme="minorBidi"/>
                <w:noProof/>
              </w:rPr>
              <w:tab/>
            </w:r>
            <w:r w:rsidR="00CE7007" w:rsidRPr="00683874">
              <w:rPr>
                <w:rStyle w:val="Hipervnculo"/>
                <w:noProof/>
              </w:rPr>
              <w:t>Revelaciones adicionales</w:t>
            </w:r>
            <w:r w:rsidR="00CE7007">
              <w:rPr>
                <w:noProof/>
                <w:webHidden/>
              </w:rPr>
              <w:tab/>
            </w:r>
            <w:r w:rsidR="00CE7007">
              <w:rPr>
                <w:noProof/>
                <w:webHidden/>
              </w:rPr>
              <w:fldChar w:fldCharType="begin"/>
            </w:r>
            <w:r w:rsidR="00CE7007">
              <w:rPr>
                <w:noProof/>
                <w:webHidden/>
              </w:rPr>
              <w:instrText xml:space="preserve"> PAGEREF _Toc99455328 \h </w:instrText>
            </w:r>
            <w:r w:rsidR="00CE7007">
              <w:rPr>
                <w:noProof/>
                <w:webHidden/>
              </w:rPr>
            </w:r>
            <w:r w:rsidR="00CE7007">
              <w:rPr>
                <w:noProof/>
                <w:webHidden/>
              </w:rPr>
              <w:fldChar w:fldCharType="separate"/>
            </w:r>
            <w:r w:rsidR="00CE7007">
              <w:rPr>
                <w:noProof/>
                <w:webHidden/>
              </w:rPr>
              <w:t>36</w:t>
            </w:r>
            <w:r w:rsidR="00CE7007">
              <w:rPr>
                <w:noProof/>
                <w:webHidden/>
              </w:rPr>
              <w:fldChar w:fldCharType="end"/>
            </w:r>
          </w:hyperlink>
        </w:p>
        <w:p w14:paraId="7A412AC3" w14:textId="27548F06" w:rsidR="00CE7007" w:rsidRDefault="00DA22DF">
          <w:pPr>
            <w:pStyle w:val="TDC1"/>
            <w:tabs>
              <w:tab w:val="right" w:leader="dot" w:pos="9252"/>
            </w:tabs>
            <w:rPr>
              <w:rFonts w:asciiTheme="minorHAnsi" w:eastAsiaTheme="minorEastAsia" w:hAnsiTheme="minorHAnsi" w:cstheme="minorBidi"/>
              <w:noProof/>
              <w:lang w:eastAsia="es-CO"/>
            </w:rPr>
          </w:pPr>
          <w:hyperlink w:anchor="_Toc99455329" w:history="1">
            <w:r w:rsidR="00CE7007" w:rsidRPr="00683874">
              <w:rPr>
                <w:rStyle w:val="Hipervnculo"/>
                <w:noProof/>
              </w:rPr>
              <w:t>NOTA 16. OTROS DERECHOS Y GARANTÍAS</w:t>
            </w:r>
            <w:r w:rsidR="00CE7007">
              <w:rPr>
                <w:noProof/>
                <w:webHidden/>
              </w:rPr>
              <w:tab/>
            </w:r>
            <w:r w:rsidR="00CE7007">
              <w:rPr>
                <w:noProof/>
                <w:webHidden/>
              </w:rPr>
              <w:fldChar w:fldCharType="begin"/>
            </w:r>
            <w:r w:rsidR="00CE7007">
              <w:rPr>
                <w:noProof/>
                <w:webHidden/>
              </w:rPr>
              <w:instrText xml:space="preserve"> PAGEREF _Toc99455329 \h </w:instrText>
            </w:r>
            <w:r w:rsidR="00CE7007">
              <w:rPr>
                <w:noProof/>
                <w:webHidden/>
              </w:rPr>
            </w:r>
            <w:r w:rsidR="00CE7007">
              <w:rPr>
                <w:noProof/>
                <w:webHidden/>
              </w:rPr>
              <w:fldChar w:fldCharType="separate"/>
            </w:r>
            <w:r w:rsidR="00CE7007">
              <w:rPr>
                <w:noProof/>
                <w:webHidden/>
              </w:rPr>
              <w:t>37</w:t>
            </w:r>
            <w:r w:rsidR="00CE7007">
              <w:rPr>
                <w:noProof/>
                <w:webHidden/>
              </w:rPr>
              <w:fldChar w:fldCharType="end"/>
            </w:r>
          </w:hyperlink>
        </w:p>
        <w:p w14:paraId="31127E57" w14:textId="3436FEEB" w:rsidR="00CE7007" w:rsidRDefault="00DA22DF">
          <w:pPr>
            <w:pStyle w:val="TDC2"/>
            <w:tabs>
              <w:tab w:val="right" w:leader="dot" w:pos="9252"/>
            </w:tabs>
            <w:rPr>
              <w:rFonts w:cstheme="minorBidi"/>
              <w:noProof/>
            </w:rPr>
          </w:pPr>
          <w:hyperlink w:anchor="_Toc99455330"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_Toc99455330 \h </w:instrText>
            </w:r>
            <w:r w:rsidR="00CE7007">
              <w:rPr>
                <w:noProof/>
                <w:webHidden/>
              </w:rPr>
            </w:r>
            <w:r w:rsidR="00CE7007">
              <w:rPr>
                <w:noProof/>
                <w:webHidden/>
              </w:rPr>
              <w:fldChar w:fldCharType="separate"/>
            </w:r>
            <w:r w:rsidR="00CE7007">
              <w:rPr>
                <w:noProof/>
                <w:webHidden/>
              </w:rPr>
              <w:t>37</w:t>
            </w:r>
            <w:r w:rsidR="00CE7007">
              <w:rPr>
                <w:noProof/>
                <w:webHidden/>
              </w:rPr>
              <w:fldChar w:fldCharType="end"/>
            </w:r>
          </w:hyperlink>
        </w:p>
        <w:p w14:paraId="2D85A10E" w14:textId="2E97A791" w:rsidR="00CE7007" w:rsidRDefault="00DA22DF">
          <w:pPr>
            <w:pStyle w:val="TDC1"/>
            <w:tabs>
              <w:tab w:val="right" w:leader="dot" w:pos="9252"/>
            </w:tabs>
            <w:rPr>
              <w:rFonts w:asciiTheme="minorHAnsi" w:eastAsiaTheme="minorEastAsia" w:hAnsiTheme="minorHAnsi" w:cstheme="minorBidi"/>
              <w:noProof/>
              <w:lang w:eastAsia="es-CO"/>
            </w:rPr>
          </w:pPr>
          <w:hyperlink w:anchor="_Toc99455331" w:history="1">
            <w:r w:rsidR="00CE7007" w:rsidRPr="00683874">
              <w:rPr>
                <w:rStyle w:val="Hipervnculo"/>
                <w:noProof/>
              </w:rPr>
              <w:t>NOTA 17. ARRENDAMIENTOS</w:t>
            </w:r>
            <w:r w:rsidR="00CE7007">
              <w:rPr>
                <w:noProof/>
                <w:webHidden/>
              </w:rPr>
              <w:tab/>
            </w:r>
            <w:r w:rsidR="00CE7007">
              <w:rPr>
                <w:noProof/>
                <w:webHidden/>
              </w:rPr>
              <w:fldChar w:fldCharType="begin"/>
            </w:r>
            <w:r w:rsidR="00CE7007">
              <w:rPr>
                <w:noProof/>
                <w:webHidden/>
              </w:rPr>
              <w:instrText xml:space="preserve"> PAGEREF _Toc99455331 \h </w:instrText>
            </w:r>
            <w:r w:rsidR="00CE7007">
              <w:rPr>
                <w:noProof/>
                <w:webHidden/>
              </w:rPr>
            </w:r>
            <w:r w:rsidR="00CE7007">
              <w:rPr>
                <w:noProof/>
                <w:webHidden/>
              </w:rPr>
              <w:fldChar w:fldCharType="separate"/>
            </w:r>
            <w:r w:rsidR="00CE7007">
              <w:rPr>
                <w:noProof/>
                <w:webHidden/>
              </w:rPr>
              <w:t>37</w:t>
            </w:r>
            <w:r w:rsidR="00CE7007">
              <w:rPr>
                <w:noProof/>
                <w:webHidden/>
              </w:rPr>
              <w:fldChar w:fldCharType="end"/>
            </w:r>
          </w:hyperlink>
        </w:p>
        <w:p w14:paraId="7A805A91" w14:textId="6A89820A" w:rsidR="00CE7007" w:rsidRDefault="00DA22DF">
          <w:pPr>
            <w:pStyle w:val="TDC2"/>
            <w:tabs>
              <w:tab w:val="left" w:pos="1100"/>
              <w:tab w:val="right" w:leader="dot" w:pos="9252"/>
            </w:tabs>
            <w:rPr>
              <w:rFonts w:cstheme="minorBidi"/>
              <w:noProof/>
            </w:rPr>
          </w:pPr>
          <w:hyperlink w:anchor="_Toc99455332" w:history="1">
            <w:r w:rsidR="00CE7007" w:rsidRPr="00683874">
              <w:rPr>
                <w:rStyle w:val="Hipervnculo"/>
                <w:noProof/>
              </w:rPr>
              <w:t>17.1.</w:t>
            </w:r>
            <w:r w:rsidR="00CE7007">
              <w:rPr>
                <w:rFonts w:cstheme="minorBidi"/>
                <w:noProof/>
              </w:rPr>
              <w:tab/>
            </w:r>
            <w:r w:rsidR="00CE7007" w:rsidRPr="00683874">
              <w:rPr>
                <w:rStyle w:val="Hipervnculo"/>
                <w:noProof/>
              </w:rPr>
              <w:t>Arrendamientos operativos</w:t>
            </w:r>
            <w:r w:rsidR="00CE7007">
              <w:rPr>
                <w:noProof/>
                <w:webHidden/>
              </w:rPr>
              <w:tab/>
            </w:r>
            <w:r w:rsidR="00CE7007">
              <w:rPr>
                <w:noProof/>
                <w:webHidden/>
              </w:rPr>
              <w:fldChar w:fldCharType="begin"/>
            </w:r>
            <w:r w:rsidR="00CE7007">
              <w:rPr>
                <w:noProof/>
                <w:webHidden/>
              </w:rPr>
              <w:instrText xml:space="preserve"> PAGEREF _Toc99455332 \h </w:instrText>
            </w:r>
            <w:r w:rsidR="00CE7007">
              <w:rPr>
                <w:noProof/>
                <w:webHidden/>
              </w:rPr>
            </w:r>
            <w:r w:rsidR="00CE7007">
              <w:rPr>
                <w:noProof/>
                <w:webHidden/>
              </w:rPr>
              <w:fldChar w:fldCharType="separate"/>
            </w:r>
            <w:r w:rsidR="00CE7007">
              <w:rPr>
                <w:noProof/>
                <w:webHidden/>
              </w:rPr>
              <w:t>37</w:t>
            </w:r>
            <w:r w:rsidR="00CE7007">
              <w:rPr>
                <w:noProof/>
                <w:webHidden/>
              </w:rPr>
              <w:fldChar w:fldCharType="end"/>
            </w:r>
          </w:hyperlink>
        </w:p>
        <w:p w14:paraId="291F6DA1" w14:textId="64270A7D" w:rsidR="00CE7007" w:rsidRDefault="00DA22DF">
          <w:pPr>
            <w:pStyle w:val="TDC3"/>
            <w:tabs>
              <w:tab w:val="left" w:pos="1320"/>
              <w:tab w:val="right" w:leader="dot" w:pos="9252"/>
            </w:tabs>
            <w:rPr>
              <w:rFonts w:cstheme="minorBidi"/>
              <w:noProof/>
            </w:rPr>
          </w:pPr>
          <w:hyperlink w:anchor="_Toc99455333" w:history="1">
            <w:r w:rsidR="00CE7007" w:rsidRPr="00683874">
              <w:rPr>
                <w:rStyle w:val="Hipervnculo"/>
                <w:noProof/>
              </w:rPr>
              <w:t>17.1.1.</w:t>
            </w:r>
            <w:r w:rsidR="00CE7007">
              <w:rPr>
                <w:rFonts w:cstheme="minorBidi"/>
                <w:noProof/>
              </w:rPr>
              <w:tab/>
            </w:r>
            <w:r w:rsidR="00CE7007" w:rsidRPr="00683874">
              <w:rPr>
                <w:rStyle w:val="Hipervnculo"/>
                <w:noProof/>
              </w:rPr>
              <w:t>Arrendador</w:t>
            </w:r>
            <w:r w:rsidR="00CE7007">
              <w:rPr>
                <w:noProof/>
                <w:webHidden/>
              </w:rPr>
              <w:tab/>
            </w:r>
            <w:r w:rsidR="00CE7007">
              <w:rPr>
                <w:noProof/>
                <w:webHidden/>
              </w:rPr>
              <w:fldChar w:fldCharType="begin"/>
            </w:r>
            <w:r w:rsidR="00CE7007">
              <w:rPr>
                <w:noProof/>
                <w:webHidden/>
              </w:rPr>
              <w:instrText xml:space="preserve"> PAGEREF _Toc99455333 \h </w:instrText>
            </w:r>
            <w:r w:rsidR="00CE7007">
              <w:rPr>
                <w:noProof/>
                <w:webHidden/>
              </w:rPr>
            </w:r>
            <w:r w:rsidR="00CE7007">
              <w:rPr>
                <w:noProof/>
                <w:webHidden/>
              </w:rPr>
              <w:fldChar w:fldCharType="separate"/>
            </w:r>
            <w:r w:rsidR="00CE7007">
              <w:rPr>
                <w:noProof/>
                <w:webHidden/>
              </w:rPr>
              <w:t>37</w:t>
            </w:r>
            <w:r w:rsidR="00CE7007">
              <w:rPr>
                <w:noProof/>
                <w:webHidden/>
              </w:rPr>
              <w:fldChar w:fldCharType="end"/>
            </w:r>
          </w:hyperlink>
        </w:p>
        <w:p w14:paraId="35BD8431" w14:textId="236E73BA" w:rsidR="00CE7007" w:rsidRDefault="00DA22DF">
          <w:pPr>
            <w:pStyle w:val="TDC3"/>
            <w:tabs>
              <w:tab w:val="left" w:pos="1320"/>
              <w:tab w:val="right" w:leader="dot" w:pos="9252"/>
            </w:tabs>
            <w:rPr>
              <w:rFonts w:cstheme="minorBidi"/>
              <w:noProof/>
            </w:rPr>
          </w:pPr>
          <w:hyperlink w:anchor="_Toc99455334" w:history="1">
            <w:r w:rsidR="00CE7007" w:rsidRPr="00683874">
              <w:rPr>
                <w:rStyle w:val="Hipervnculo"/>
                <w:noProof/>
              </w:rPr>
              <w:t>17.1.2.</w:t>
            </w:r>
            <w:r w:rsidR="00CE7007">
              <w:rPr>
                <w:rFonts w:cstheme="minorBidi"/>
                <w:noProof/>
              </w:rPr>
              <w:tab/>
            </w:r>
            <w:r w:rsidR="00CE7007" w:rsidRPr="00683874">
              <w:rPr>
                <w:rStyle w:val="Hipervnculo"/>
                <w:noProof/>
              </w:rPr>
              <w:t>Arrendatario</w:t>
            </w:r>
            <w:r w:rsidR="00CE7007">
              <w:rPr>
                <w:noProof/>
                <w:webHidden/>
              </w:rPr>
              <w:tab/>
            </w:r>
            <w:r w:rsidR="00CE7007">
              <w:rPr>
                <w:noProof/>
                <w:webHidden/>
              </w:rPr>
              <w:fldChar w:fldCharType="begin"/>
            </w:r>
            <w:r w:rsidR="00CE7007">
              <w:rPr>
                <w:noProof/>
                <w:webHidden/>
              </w:rPr>
              <w:instrText xml:space="preserve"> PAGEREF _Toc99455334 \h </w:instrText>
            </w:r>
            <w:r w:rsidR="00CE7007">
              <w:rPr>
                <w:noProof/>
                <w:webHidden/>
              </w:rPr>
            </w:r>
            <w:r w:rsidR="00CE7007">
              <w:rPr>
                <w:noProof/>
                <w:webHidden/>
              </w:rPr>
              <w:fldChar w:fldCharType="separate"/>
            </w:r>
            <w:r w:rsidR="00CE7007">
              <w:rPr>
                <w:noProof/>
                <w:webHidden/>
              </w:rPr>
              <w:t>38</w:t>
            </w:r>
            <w:r w:rsidR="00CE7007">
              <w:rPr>
                <w:noProof/>
                <w:webHidden/>
              </w:rPr>
              <w:fldChar w:fldCharType="end"/>
            </w:r>
          </w:hyperlink>
        </w:p>
        <w:p w14:paraId="42852950" w14:textId="0A80B3F2" w:rsidR="00CE7007" w:rsidRDefault="00DA22DF">
          <w:pPr>
            <w:pStyle w:val="TDC1"/>
            <w:tabs>
              <w:tab w:val="right" w:leader="dot" w:pos="9252"/>
            </w:tabs>
            <w:rPr>
              <w:rFonts w:asciiTheme="minorHAnsi" w:eastAsiaTheme="minorEastAsia" w:hAnsiTheme="minorHAnsi" w:cstheme="minorBidi"/>
              <w:noProof/>
              <w:lang w:eastAsia="es-CO"/>
            </w:rPr>
          </w:pPr>
          <w:hyperlink w:anchor="_Toc99455335" w:history="1">
            <w:r w:rsidR="00CE7007" w:rsidRPr="00683874">
              <w:rPr>
                <w:rStyle w:val="Hipervnculo"/>
                <w:noProof/>
              </w:rPr>
              <w:t>NOTA 21. CUENTAS POR PAGAR</w:t>
            </w:r>
            <w:r w:rsidR="00CE7007">
              <w:rPr>
                <w:noProof/>
                <w:webHidden/>
              </w:rPr>
              <w:tab/>
            </w:r>
            <w:r w:rsidR="00CE7007">
              <w:rPr>
                <w:noProof/>
                <w:webHidden/>
              </w:rPr>
              <w:fldChar w:fldCharType="begin"/>
            </w:r>
            <w:r w:rsidR="00CE7007">
              <w:rPr>
                <w:noProof/>
                <w:webHidden/>
              </w:rPr>
              <w:instrText xml:space="preserve"> PAGEREF _Toc99455335 \h </w:instrText>
            </w:r>
            <w:r w:rsidR="00CE7007">
              <w:rPr>
                <w:noProof/>
                <w:webHidden/>
              </w:rPr>
            </w:r>
            <w:r w:rsidR="00CE7007">
              <w:rPr>
                <w:noProof/>
                <w:webHidden/>
              </w:rPr>
              <w:fldChar w:fldCharType="separate"/>
            </w:r>
            <w:r w:rsidR="00CE7007">
              <w:rPr>
                <w:noProof/>
                <w:webHidden/>
              </w:rPr>
              <w:t>39</w:t>
            </w:r>
            <w:r w:rsidR="00CE7007">
              <w:rPr>
                <w:noProof/>
                <w:webHidden/>
              </w:rPr>
              <w:fldChar w:fldCharType="end"/>
            </w:r>
          </w:hyperlink>
        </w:p>
        <w:p w14:paraId="098EAFEB" w14:textId="6CD2D124" w:rsidR="00CE7007" w:rsidRDefault="00DA22DF">
          <w:pPr>
            <w:pStyle w:val="TDC2"/>
            <w:tabs>
              <w:tab w:val="right" w:leader="dot" w:pos="9252"/>
            </w:tabs>
            <w:rPr>
              <w:rFonts w:cstheme="minorBidi"/>
              <w:noProof/>
            </w:rPr>
          </w:pPr>
          <w:hyperlink w:anchor="_Toc99455336"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_Toc99455336 \h </w:instrText>
            </w:r>
            <w:r w:rsidR="00CE7007">
              <w:rPr>
                <w:noProof/>
                <w:webHidden/>
              </w:rPr>
            </w:r>
            <w:r w:rsidR="00CE7007">
              <w:rPr>
                <w:noProof/>
                <w:webHidden/>
              </w:rPr>
              <w:fldChar w:fldCharType="separate"/>
            </w:r>
            <w:r w:rsidR="00CE7007">
              <w:rPr>
                <w:noProof/>
                <w:webHidden/>
              </w:rPr>
              <w:t>39</w:t>
            </w:r>
            <w:r w:rsidR="00CE7007">
              <w:rPr>
                <w:noProof/>
                <w:webHidden/>
              </w:rPr>
              <w:fldChar w:fldCharType="end"/>
            </w:r>
          </w:hyperlink>
        </w:p>
        <w:p w14:paraId="41FF7348" w14:textId="70B5241D" w:rsidR="00CE7007" w:rsidRDefault="00DA22DF">
          <w:pPr>
            <w:pStyle w:val="TDC2"/>
            <w:tabs>
              <w:tab w:val="left" w:pos="1100"/>
              <w:tab w:val="right" w:leader="dot" w:pos="9252"/>
            </w:tabs>
            <w:rPr>
              <w:rFonts w:cstheme="minorBidi"/>
              <w:noProof/>
            </w:rPr>
          </w:pPr>
          <w:hyperlink w:anchor="_Toc99455337" w:history="1">
            <w:r w:rsidR="00CE7007" w:rsidRPr="00683874">
              <w:rPr>
                <w:rStyle w:val="Hipervnculo"/>
                <w:noProof/>
              </w:rPr>
              <w:t>21.1.</w:t>
            </w:r>
            <w:r w:rsidR="00CE7007">
              <w:rPr>
                <w:rFonts w:cstheme="minorBidi"/>
                <w:noProof/>
              </w:rPr>
              <w:tab/>
            </w:r>
            <w:r w:rsidR="00CE7007" w:rsidRPr="00683874">
              <w:rPr>
                <w:rStyle w:val="Hipervnculo"/>
                <w:noProof/>
              </w:rPr>
              <w:t>Revelaciones generales</w:t>
            </w:r>
            <w:r w:rsidR="00CE7007">
              <w:rPr>
                <w:noProof/>
                <w:webHidden/>
              </w:rPr>
              <w:tab/>
            </w:r>
            <w:r w:rsidR="00CE7007">
              <w:rPr>
                <w:noProof/>
                <w:webHidden/>
              </w:rPr>
              <w:fldChar w:fldCharType="begin"/>
            </w:r>
            <w:r w:rsidR="00CE7007">
              <w:rPr>
                <w:noProof/>
                <w:webHidden/>
              </w:rPr>
              <w:instrText xml:space="preserve"> PAGEREF _Toc99455337 \h </w:instrText>
            </w:r>
            <w:r w:rsidR="00CE7007">
              <w:rPr>
                <w:noProof/>
                <w:webHidden/>
              </w:rPr>
            </w:r>
            <w:r w:rsidR="00CE7007">
              <w:rPr>
                <w:noProof/>
                <w:webHidden/>
              </w:rPr>
              <w:fldChar w:fldCharType="separate"/>
            </w:r>
            <w:r w:rsidR="00CE7007">
              <w:rPr>
                <w:noProof/>
                <w:webHidden/>
              </w:rPr>
              <w:t>39</w:t>
            </w:r>
            <w:r w:rsidR="00CE7007">
              <w:rPr>
                <w:noProof/>
                <w:webHidden/>
              </w:rPr>
              <w:fldChar w:fldCharType="end"/>
            </w:r>
          </w:hyperlink>
        </w:p>
        <w:p w14:paraId="7FF671BC" w14:textId="3CE3D460" w:rsidR="00CE7007" w:rsidRDefault="00DA22DF">
          <w:pPr>
            <w:pStyle w:val="TDC3"/>
            <w:tabs>
              <w:tab w:val="left" w:pos="1320"/>
              <w:tab w:val="right" w:leader="dot" w:pos="9252"/>
            </w:tabs>
            <w:rPr>
              <w:rFonts w:cstheme="minorBidi"/>
              <w:noProof/>
            </w:rPr>
          </w:pPr>
          <w:hyperlink w:anchor="_Toc99455338" w:history="1">
            <w:r w:rsidR="00CE7007" w:rsidRPr="00683874">
              <w:rPr>
                <w:rStyle w:val="Hipervnculo"/>
                <w:noProof/>
              </w:rPr>
              <w:t>21.1.1.</w:t>
            </w:r>
            <w:r w:rsidR="00CE7007">
              <w:rPr>
                <w:rFonts w:cstheme="minorBidi"/>
                <w:noProof/>
              </w:rPr>
              <w:tab/>
            </w:r>
            <w:r w:rsidR="00CE7007" w:rsidRPr="00683874">
              <w:rPr>
                <w:rStyle w:val="Hipervnculo"/>
                <w:noProof/>
              </w:rPr>
              <w:t>Adquisición de bienes y servicios nacionales</w:t>
            </w:r>
            <w:r w:rsidR="00CE7007">
              <w:rPr>
                <w:noProof/>
                <w:webHidden/>
              </w:rPr>
              <w:tab/>
            </w:r>
            <w:r w:rsidR="00CE7007">
              <w:rPr>
                <w:noProof/>
                <w:webHidden/>
              </w:rPr>
              <w:fldChar w:fldCharType="begin"/>
            </w:r>
            <w:r w:rsidR="00CE7007">
              <w:rPr>
                <w:noProof/>
                <w:webHidden/>
              </w:rPr>
              <w:instrText xml:space="preserve"> PAGEREF _Toc99455338 \h </w:instrText>
            </w:r>
            <w:r w:rsidR="00CE7007">
              <w:rPr>
                <w:noProof/>
                <w:webHidden/>
              </w:rPr>
            </w:r>
            <w:r w:rsidR="00CE7007">
              <w:rPr>
                <w:noProof/>
                <w:webHidden/>
              </w:rPr>
              <w:fldChar w:fldCharType="separate"/>
            </w:r>
            <w:r w:rsidR="00CE7007">
              <w:rPr>
                <w:noProof/>
                <w:webHidden/>
              </w:rPr>
              <w:t>39</w:t>
            </w:r>
            <w:r w:rsidR="00CE7007">
              <w:rPr>
                <w:noProof/>
                <w:webHidden/>
              </w:rPr>
              <w:fldChar w:fldCharType="end"/>
            </w:r>
          </w:hyperlink>
        </w:p>
        <w:p w14:paraId="2C763EAC" w14:textId="77B7270E" w:rsidR="00CE7007" w:rsidRDefault="00DA22DF">
          <w:pPr>
            <w:pStyle w:val="TDC3"/>
            <w:tabs>
              <w:tab w:val="left" w:pos="1320"/>
              <w:tab w:val="right" w:leader="dot" w:pos="9252"/>
            </w:tabs>
            <w:rPr>
              <w:rFonts w:cstheme="minorBidi"/>
              <w:noProof/>
            </w:rPr>
          </w:pPr>
          <w:hyperlink w:anchor="_Toc99455339" w:history="1">
            <w:r w:rsidR="00CE7007" w:rsidRPr="00683874">
              <w:rPr>
                <w:rStyle w:val="Hipervnculo"/>
                <w:noProof/>
              </w:rPr>
              <w:t>21.1.2.</w:t>
            </w:r>
            <w:r w:rsidR="00CE7007">
              <w:rPr>
                <w:rFonts w:cstheme="minorBidi"/>
                <w:noProof/>
              </w:rPr>
              <w:tab/>
            </w:r>
            <w:r w:rsidR="00CE7007" w:rsidRPr="00683874">
              <w:rPr>
                <w:rStyle w:val="Hipervnculo"/>
                <w:noProof/>
              </w:rPr>
              <w:t>Recursos a favor de terceros</w:t>
            </w:r>
            <w:r w:rsidR="00CE7007">
              <w:rPr>
                <w:noProof/>
                <w:webHidden/>
              </w:rPr>
              <w:tab/>
            </w:r>
            <w:r w:rsidR="00CE7007">
              <w:rPr>
                <w:noProof/>
                <w:webHidden/>
              </w:rPr>
              <w:fldChar w:fldCharType="begin"/>
            </w:r>
            <w:r w:rsidR="00CE7007">
              <w:rPr>
                <w:noProof/>
                <w:webHidden/>
              </w:rPr>
              <w:instrText xml:space="preserve"> PAGEREF _Toc99455339 \h </w:instrText>
            </w:r>
            <w:r w:rsidR="00CE7007">
              <w:rPr>
                <w:noProof/>
                <w:webHidden/>
              </w:rPr>
            </w:r>
            <w:r w:rsidR="00CE7007">
              <w:rPr>
                <w:noProof/>
                <w:webHidden/>
              </w:rPr>
              <w:fldChar w:fldCharType="separate"/>
            </w:r>
            <w:r w:rsidR="00CE7007">
              <w:rPr>
                <w:noProof/>
                <w:webHidden/>
              </w:rPr>
              <w:t>39</w:t>
            </w:r>
            <w:r w:rsidR="00CE7007">
              <w:rPr>
                <w:noProof/>
                <w:webHidden/>
              </w:rPr>
              <w:fldChar w:fldCharType="end"/>
            </w:r>
          </w:hyperlink>
        </w:p>
        <w:p w14:paraId="4F4F0C3F" w14:textId="25DC8F15" w:rsidR="00CE7007" w:rsidRDefault="00DA22DF">
          <w:pPr>
            <w:pStyle w:val="TDC3"/>
            <w:tabs>
              <w:tab w:val="right" w:leader="dot" w:pos="9252"/>
            </w:tabs>
            <w:rPr>
              <w:rFonts w:cstheme="minorBidi"/>
              <w:noProof/>
            </w:rPr>
          </w:pPr>
          <w:hyperlink w:anchor="_Toc99455340" w:history="1">
            <w:r w:rsidR="00CE7007" w:rsidRPr="00683874">
              <w:rPr>
                <w:rStyle w:val="Hipervnculo"/>
                <w:noProof/>
              </w:rPr>
              <w:t>Otros recursos a favor de terceros</w:t>
            </w:r>
            <w:r w:rsidR="00CE7007">
              <w:rPr>
                <w:noProof/>
                <w:webHidden/>
              </w:rPr>
              <w:tab/>
            </w:r>
            <w:r w:rsidR="00CE7007">
              <w:rPr>
                <w:noProof/>
                <w:webHidden/>
              </w:rPr>
              <w:fldChar w:fldCharType="begin"/>
            </w:r>
            <w:r w:rsidR="00CE7007">
              <w:rPr>
                <w:noProof/>
                <w:webHidden/>
              </w:rPr>
              <w:instrText xml:space="preserve"> PAGEREF _Toc99455340 \h </w:instrText>
            </w:r>
            <w:r w:rsidR="00CE7007">
              <w:rPr>
                <w:noProof/>
                <w:webHidden/>
              </w:rPr>
            </w:r>
            <w:r w:rsidR="00CE7007">
              <w:rPr>
                <w:noProof/>
                <w:webHidden/>
              </w:rPr>
              <w:fldChar w:fldCharType="separate"/>
            </w:r>
            <w:r w:rsidR="00CE7007">
              <w:rPr>
                <w:noProof/>
                <w:webHidden/>
              </w:rPr>
              <w:t>40</w:t>
            </w:r>
            <w:r w:rsidR="00CE7007">
              <w:rPr>
                <w:noProof/>
                <w:webHidden/>
              </w:rPr>
              <w:fldChar w:fldCharType="end"/>
            </w:r>
          </w:hyperlink>
        </w:p>
        <w:p w14:paraId="5979F917" w14:textId="667F30DC" w:rsidR="00CE7007" w:rsidRDefault="00DA22DF">
          <w:pPr>
            <w:pStyle w:val="TDC3"/>
            <w:tabs>
              <w:tab w:val="left" w:pos="1320"/>
              <w:tab w:val="right" w:leader="dot" w:pos="9252"/>
            </w:tabs>
            <w:rPr>
              <w:rFonts w:cstheme="minorBidi"/>
              <w:noProof/>
            </w:rPr>
          </w:pPr>
          <w:hyperlink w:anchor="_Toc99455342" w:history="1">
            <w:r w:rsidR="00CE7007" w:rsidRPr="00683874">
              <w:rPr>
                <w:rStyle w:val="Hipervnculo"/>
                <w:noProof/>
              </w:rPr>
              <w:t>21.1.3.</w:t>
            </w:r>
            <w:r w:rsidR="00CE7007">
              <w:rPr>
                <w:rFonts w:cstheme="minorBidi"/>
                <w:noProof/>
              </w:rPr>
              <w:tab/>
            </w:r>
            <w:r w:rsidR="00CE7007" w:rsidRPr="00683874">
              <w:rPr>
                <w:rStyle w:val="Hipervnculo"/>
                <w:noProof/>
              </w:rPr>
              <w:t>Descuentos de nómina</w:t>
            </w:r>
            <w:r w:rsidR="00CE7007">
              <w:rPr>
                <w:noProof/>
                <w:webHidden/>
              </w:rPr>
              <w:tab/>
            </w:r>
            <w:r w:rsidR="00CE7007">
              <w:rPr>
                <w:noProof/>
                <w:webHidden/>
              </w:rPr>
              <w:fldChar w:fldCharType="begin"/>
            </w:r>
            <w:r w:rsidR="00CE7007">
              <w:rPr>
                <w:noProof/>
                <w:webHidden/>
              </w:rPr>
              <w:instrText xml:space="preserve"> PAGEREF _Toc99455342 \h </w:instrText>
            </w:r>
            <w:r w:rsidR="00CE7007">
              <w:rPr>
                <w:noProof/>
                <w:webHidden/>
              </w:rPr>
            </w:r>
            <w:r w:rsidR="00CE7007">
              <w:rPr>
                <w:noProof/>
                <w:webHidden/>
              </w:rPr>
              <w:fldChar w:fldCharType="separate"/>
            </w:r>
            <w:r w:rsidR="00CE7007">
              <w:rPr>
                <w:noProof/>
                <w:webHidden/>
              </w:rPr>
              <w:t>40</w:t>
            </w:r>
            <w:r w:rsidR="00CE7007">
              <w:rPr>
                <w:noProof/>
                <w:webHidden/>
              </w:rPr>
              <w:fldChar w:fldCharType="end"/>
            </w:r>
          </w:hyperlink>
        </w:p>
        <w:p w14:paraId="7199390C" w14:textId="08739D7D" w:rsidR="00CE7007" w:rsidRDefault="00DA22DF">
          <w:pPr>
            <w:pStyle w:val="TDC3"/>
            <w:tabs>
              <w:tab w:val="left" w:pos="1320"/>
              <w:tab w:val="right" w:leader="dot" w:pos="9252"/>
            </w:tabs>
            <w:rPr>
              <w:rFonts w:cstheme="minorBidi"/>
              <w:noProof/>
            </w:rPr>
          </w:pPr>
          <w:hyperlink w:anchor="_Toc99455344" w:history="1">
            <w:r w:rsidR="00CE7007" w:rsidRPr="00683874">
              <w:rPr>
                <w:rStyle w:val="Hipervnculo"/>
                <w:noProof/>
              </w:rPr>
              <w:t>21.1.4.</w:t>
            </w:r>
            <w:r w:rsidR="00CE7007">
              <w:rPr>
                <w:rFonts w:cstheme="minorBidi"/>
                <w:noProof/>
              </w:rPr>
              <w:tab/>
            </w:r>
            <w:r w:rsidR="00CE7007" w:rsidRPr="00683874">
              <w:rPr>
                <w:rStyle w:val="Hipervnculo"/>
                <w:noProof/>
              </w:rPr>
              <w:t>Impuestos contribuciones y tasas</w:t>
            </w:r>
            <w:r w:rsidR="00CE7007">
              <w:rPr>
                <w:noProof/>
                <w:webHidden/>
              </w:rPr>
              <w:tab/>
            </w:r>
            <w:r w:rsidR="00CE7007">
              <w:rPr>
                <w:noProof/>
                <w:webHidden/>
              </w:rPr>
              <w:fldChar w:fldCharType="begin"/>
            </w:r>
            <w:r w:rsidR="00CE7007">
              <w:rPr>
                <w:noProof/>
                <w:webHidden/>
              </w:rPr>
              <w:instrText xml:space="preserve"> PAGEREF _Toc99455344 \h </w:instrText>
            </w:r>
            <w:r w:rsidR="00CE7007">
              <w:rPr>
                <w:noProof/>
                <w:webHidden/>
              </w:rPr>
            </w:r>
            <w:r w:rsidR="00CE7007">
              <w:rPr>
                <w:noProof/>
                <w:webHidden/>
              </w:rPr>
              <w:fldChar w:fldCharType="separate"/>
            </w:r>
            <w:r w:rsidR="00CE7007">
              <w:rPr>
                <w:noProof/>
                <w:webHidden/>
              </w:rPr>
              <w:t>40</w:t>
            </w:r>
            <w:r w:rsidR="00CE7007">
              <w:rPr>
                <w:noProof/>
                <w:webHidden/>
              </w:rPr>
              <w:fldChar w:fldCharType="end"/>
            </w:r>
          </w:hyperlink>
        </w:p>
        <w:p w14:paraId="1E2E7068" w14:textId="3BC8C912" w:rsidR="00CE7007" w:rsidRDefault="00DA22DF">
          <w:pPr>
            <w:pStyle w:val="TDC3"/>
            <w:tabs>
              <w:tab w:val="left" w:pos="1320"/>
              <w:tab w:val="right" w:leader="dot" w:pos="9252"/>
            </w:tabs>
            <w:rPr>
              <w:rFonts w:cstheme="minorBidi"/>
              <w:noProof/>
            </w:rPr>
          </w:pPr>
          <w:hyperlink w:anchor="_Toc99455345" w:history="1">
            <w:r w:rsidR="00CE7007" w:rsidRPr="00683874">
              <w:rPr>
                <w:rStyle w:val="Hipervnculo"/>
                <w:noProof/>
              </w:rPr>
              <w:t>21.1.5.</w:t>
            </w:r>
            <w:r w:rsidR="00CE7007">
              <w:rPr>
                <w:rFonts w:cstheme="minorBidi"/>
                <w:noProof/>
              </w:rPr>
              <w:tab/>
            </w:r>
            <w:r w:rsidR="00CE7007" w:rsidRPr="00683874">
              <w:rPr>
                <w:rStyle w:val="Hipervnculo"/>
                <w:noProof/>
              </w:rPr>
              <w:t>Otras cuentas por pagar</w:t>
            </w:r>
            <w:r w:rsidR="00CE7007">
              <w:rPr>
                <w:noProof/>
                <w:webHidden/>
              </w:rPr>
              <w:tab/>
            </w:r>
            <w:r w:rsidR="00CE7007">
              <w:rPr>
                <w:noProof/>
                <w:webHidden/>
              </w:rPr>
              <w:fldChar w:fldCharType="begin"/>
            </w:r>
            <w:r w:rsidR="00CE7007">
              <w:rPr>
                <w:noProof/>
                <w:webHidden/>
              </w:rPr>
              <w:instrText xml:space="preserve"> PAGEREF _Toc99455345 \h </w:instrText>
            </w:r>
            <w:r w:rsidR="00CE7007">
              <w:rPr>
                <w:noProof/>
                <w:webHidden/>
              </w:rPr>
            </w:r>
            <w:r w:rsidR="00CE7007">
              <w:rPr>
                <w:noProof/>
                <w:webHidden/>
              </w:rPr>
              <w:fldChar w:fldCharType="separate"/>
            </w:r>
            <w:r w:rsidR="00CE7007">
              <w:rPr>
                <w:noProof/>
                <w:webHidden/>
              </w:rPr>
              <w:t>40</w:t>
            </w:r>
            <w:r w:rsidR="00CE7007">
              <w:rPr>
                <w:noProof/>
                <w:webHidden/>
              </w:rPr>
              <w:fldChar w:fldCharType="end"/>
            </w:r>
          </w:hyperlink>
        </w:p>
        <w:p w14:paraId="769B00BF" w14:textId="5DE342B6" w:rsidR="00CE7007" w:rsidRDefault="00DA22DF">
          <w:pPr>
            <w:pStyle w:val="TDC1"/>
            <w:tabs>
              <w:tab w:val="right" w:leader="dot" w:pos="9252"/>
            </w:tabs>
            <w:rPr>
              <w:rFonts w:asciiTheme="minorHAnsi" w:eastAsiaTheme="minorEastAsia" w:hAnsiTheme="minorHAnsi" w:cstheme="minorBidi"/>
              <w:noProof/>
              <w:lang w:eastAsia="es-CO"/>
            </w:rPr>
          </w:pPr>
          <w:hyperlink w:anchor="_Toc99455346" w:history="1">
            <w:r w:rsidR="00CE7007" w:rsidRPr="00683874">
              <w:rPr>
                <w:rStyle w:val="Hipervnculo"/>
                <w:noProof/>
              </w:rPr>
              <w:t>NOTA 22. BENEFICIOS A LOS EMPLEADOS</w:t>
            </w:r>
            <w:r w:rsidR="00CE7007">
              <w:rPr>
                <w:noProof/>
                <w:webHidden/>
              </w:rPr>
              <w:tab/>
            </w:r>
            <w:r w:rsidR="00CE7007">
              <w:rPr>
                <w:noProof/>
                <w:webHidden/>
              </w:rPr>
              <w:fldChar w:fldCharType="begin"/>
            </w:r>
            <w:r w:rsidR="00CE7007">
              <w:rPr>
                <w:noProof/>
                <w:webHidden/>
              </w:rPr>
              <w:instrText xml:space="preserve"> PAGEREF _Toc99455346 \h </w:instrText>
            </w:r>
            <w:r w:rsidR="00CE7007">
              <w:rPr>
                <w:noProof/>
                <w:webHidden/>
              </w:rPr>
            </w:r>
            <w:r w:rsidR="00CE7007">
              <w:rPr>
                <w:noProof/>
                <w:webHidden/>
              </w:rPr>
              <w:fldChar w:fldCharType="separate"/>
            </w:r>
            <w:r w:rsidR="00CE7007">
              <w:rPr>
                <w:noProof/>
                <w:webHidden/>
              </w:rPr>
              <w:t>41</w:t>
            </w:r>
            <w:r w:rsidR="00CE7007">
              <w:rPr>
                <w:noProof/>
                <w:webHidden/>
              </w:rPr>
              <w:fldChar w:fldCharType="end"/>
            </w:r>
          </w:hyperlink>
        </w:p>
        <w:p w14:paraId="33789DB8" w14:textId="5ECA8D59" w:rsidR="00CE7007" w:rsidRDefault="00DA22DF">
          <w:pPr>
            <w:pStyle w:val="TDC2"/>
            <w:tabs>
              <w:tab w:val="right" w:leader="dot" w:pos="9252"/>
            </w:tabs>
            <w:rPr>
              <w:rFonts w:cstheme="minorBidi"/>
              <w:noProof/>
            </w:rPr>
          </w:pPr>
          <w:hyperlink w:anchor="_Toc99455347"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_Toc99455347 \h </w:instrText>
            </w:r>
            <w:r w:rsidR="00CE7007">
              <w:rPr>
                <w:noProof/>
                <w:webHidden/>
              </w:rPr>
            </w:r>
            <w:r w:rsidR="00CE7007">
              <w:rPr>
                <w:noProof/>
                <w:webHidden/>
              </w:rPr>
              <w:fldChar w:fldCharType="separate"/>
            </w:r>
            <w:r w:rsidR="00CE7007">
              <w:rPr>
                <w:noProof/>
                <w:webHidden/>
              </w:rPr>
              <w:t>41</w:t>
            </w:r>
            <w:r w:rsidR="00CE7007">
              <w:rPr>
                <w:noProof/>
                <w:webHidden/>
              </w:rPr>
              <w:fldChar w:fldCharType="end"/>
            </w:r>
          </w:hyperlink>
        </w:p>
        <w:p w14:paraId="354758E9" w14:textId="1F8509CF" w:rsidR="00CE7007" w:rsidRDefault="00DA22DF">
          <w:pPr>
            <w:pStyle w:val="TDC2"/>
            <w:tabs>
              <w:tab w:val="left" w:pos="1100"/>
              <w:tab w:val="right" w:leader="dot" w:pos="9252"/>
            </w:tabs>
            <w:rPr>
              <w:rFonts w:cstheme="minorBidi"/>
              <w:noProof/>
            </w:rPr>
          </w:pPr>
          <w:hyperlink w:anchor="_Toc99455348" w:history="1">
            <w:r w:rsidR="00CE7007" w:rsidRPr="00683874">
              <w:rPr>
                <w:rStyle w:val="Hipervnculo"/>
                <w:noProof/>
              </w:rPr>
              <w:t>22.1.</w:t>
            </w:r>
            <w:r w:rsidR="00CE7007">
              <w:rPr>
                <w:rFonts w:cstheme="minorBidi"/>
                <w:noProof/>
              </w:rPr>
              <w:tab/>
            </w:r>
            <w:r w:rsidR="00CE7007" w:rsidRPr="00683874">
              <w:rPr>
                <w:rStyle w:val="Hipervnculo"/>
                <w:noProof/>
              </w:rPr>
              <w:t>Beneficios a los empleados a corto plazo</w:t>
            </w:r>
            <w:r w:rsidR="00CE7007">
              <w:rPr>
                <w:noProof/>
                <w:webHidden/>
              </w:rPr>
              <w:tab/>
            </w:r>
            <w:r w:rsidR="00CE7007">
              <w:rPr>
                <w:noProof/>
                <w:webHidden/>
              </w:rPr>
              <w:fldChar w:fldCharType="begin"/>
            </w:r>
            <w:r w:rsidR="00CE7007">
              <w:rPr>
                <w:noProof/>
                <w:webHidden/>
              </w:rPr>
              <w:instrText xml:space="preserve"> PAGEREF _Toc99455348 \h </w:instrText>
            </w:r>
            <w:r w:rsidR="00CE7007">
              <w:rPr>
                <w:noProof/>
                <w:webHidden/>
              </w:rPr>
            </w:r>
            <w:r w:rsidR="00CE7007">
              <w:rPr>
                <w:noProof/>
                <w:webHidden/>
              </w:rPr>
              <w:fldChar w:fldCharType="separate"/>
            </w:r>
            <w:r w:rsidR="00CE7007">
              <w:rPr>
                <w:noProof/>
                <w:webHidden/>
              </w:rPr>
              <w:t>41</w:t>
            </w:r>
            <w:r w:rsidR="00CE7007">
              <w:rPr>
                <w:noProof/>
                <w:webHidden/>
              </w:rPr>
              <w:fldChar w:fldCharType="end"/>
            </w:r>
          </w:hyperlink>
        </w:p>
        <w:p w14:paraId="0D2ABDE9" w14:textId="700808AA" w:rsidR="00CE7007" w:rsidRDefault="00DA22DF">
          <w:pPr>
            <w:pStyle w:val="TDC1"/>
            <w:tabs>
              <w:tab w:val="right" w:leader="dot" w:pos="9252"/>
            </w:tabs>
            <w:rPr>
              <w:rFonts w:asciiTheme="minorHAnsi" w:eastAsiaTheme="minorEastAsia" w:hAnsiTheme="minorHAnsi" w:cstheme="minorBidi"/>
              <w:noProof/>
              <w:lang w:eastAsia="es-CO"/>
            </w:rPr>
          </w:pPr>
          <w:hyperlink w:anchor="_Toc99455349" w:history="1">
            <w:r w:rsidR="00CE7007" w:rsidRPr="00683874">
              <w:rPr>
                <w:rStyle w:val="Hipervnculo"/>
                <w:noProof/>
              </w:rPr>
              <w:t>NOTA 23. PROVISIONES</w:t>
            </w:r>
            <w:r w:rsidR="00CE7007">
              <w:rPr>
                <w:noProof/>
                <w:webHidden/>
              </w:rPr>
              <w:tab/>
            </w:r>
            <w:r w:rsidR="00CE7007">
              <w:rPr>
                <w:noProof/>
                <w:webHidden/>
              </w:rPr>
              <w:fldChar w:fldCharType="begin"/>
            </w:r>
            <w:r w:rsidR="00CE7007">
              <w:rPr>
                <w:noProof/>
                <w:webHidden/>
              </w:rPr>
              <w:instrText xml:space="preserve"> PAGEREF _Toc99455349 \h </w:instrText>
            </w:r>
            <w:r w:rsidR="00CE7007">
              <w:rPr>
                <w:noProof/>
                <w:webHidden/>
              </w:rPr>
            </w:r>
            <w:r w:rsidR="00CE7007">
              <w:rPr>
                <w:noProof/>
                <w:webHidden/>
              </w:rPr>
              <w:fldChar w:fldCharType="separate"/>
            </w:r>
            <w:r w:rsidR="00CE7007">
              <w:rPr>
                <w:noProof/>
                <w:webHidden/>
              </w:rPr>
              <w:t>42</w:t>
            </w:r>
            <w:r w:rsidR="00CE7007">
              <w:rPr>
                <w:noProof/>
                <w:webHidden/>
              </w:rPr>
              <w:fldChar w:fldCharType="end"/>
            </w:r>
          </w:hyperlink>
        </w:p>
        <w:p w14:paraId="3BC45043" w14:textId="3392446F" w:rsidR="00CE7007" w:rsidRDefault="00DA22DF">
          <w:pPr>
            <w:pStyle w:val="TDC2"/>
            <w:tabs>
              <w:tab w:val="right" w:leader="dot" w:pos="9252"/>
            </w:tabs>
            <w:rPr>
              <w:rFonts w:cstheme="minorBidi"/>
              <w:noProof/>
            </w:rPr>
          </w:pPr>
          <w:hyperlink w:anchor="_Toc99455350"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_Toc99455350 \h </w:instrText>
            </w:r>
            <w:r w:rsidR="00CE7007">
              <w:rPr>
                <w:noProof/>
                <w:webHidden/>
              </w:rPr>
            </w:r>
            <w:r w:rsidR="00CE7007">
              <w:rPr>
                <w:noProof/>
                <w:webHidden/>
              </w:rPr>
              <w:fldChar w:fldCharType="separate"/>
            </w:r>
            <w:r w:rsidR="00CE7007">
              <w:rPr>
                <w:noProof/>
                <w:webHidden/>
              </w:rPr>
              <w:t>42</w:t>
            </w:r>
            <w:r w:rsidR="00CE7007">
              <w:rPr>
                <w:noProof/>
                <w:webHidden/>
              </w:rPr>
              <w:fldChar w:fldCharType="end"/>
            </w:r>
          </w:hyperlink>
        </w:p>
        <w:p w14:paraId="7547F227" w14:textId="1310A1ED" w:rsidR="00CE7007" w:rsidRDefault="00DA22DF">
          <w:pPr>
            <w:pStyle w:val="TDC2"/>
            <w:tabs>
              <w:tab w:val="left" w:pos="1100"/>
              <w:tab w:val="right" w:leader="dot" w:pos="9252"/>
            </w:tabs>
            <w:rPr>
              <w:rFonts w:cstheme="minorBidi"/>
              <w:noProof/>
            </w:rPr>
          </w:pPr>
          <w:hyperlink w:anchor="_Toc99455351" w:history="1">
            <w:r w:rsidR="00CE7007" w:rsidRPr="00683874">
              <w:rPr>
                <w:rStyle w:val="Hipervnculo"/>
                <w:noProof/>
              </w:rPr>
              <w:t>23.1.</w:t>
            </w:r>
            <w:r w:rsidR="00CE7007">
              <w:rPr>
                <w:rFonts w:cstheme="minorBidi"/>
                <w:noProof/>
              </w:rPr>
              <w:tab/>
            </w:r>
            <w:r w:rsidR="00CE7007" w:rsidRPr="00683874">
              <w:rPr>
                <w:rStyle w:val="Hipervnculo"/>
                <w:noProof/>
              </w:rPr>
              <w:t>Litigios y demandas</w:t>
            </w:r>
            <w:r w:rsidR="00CE7007">
              <w:rPr>
                <w:noProof/>
                <w:webHidden/>
              </w:rPr>
              <w:tab/>
            </w:r>
            <w:r w:rsidR="00CE7007">
              <w:rPr>
                <w:noProof/>
                <w:webHidden/>
              </w:rPr>
              <w:fldChar w:fldCharType="begin"/>
            </w:r>
            <w:r w:rsidR="00CE7007">
              <w:rPr>
                <w:noProof/>
                <w:webHidden/>
              </w:rPr>
              <w:instrText xml:space="preserve"> PAGEREF _Toc99455351 \h </w:instrText>
            </w:r>
            <w:r w:rsidR="00CE7007">
              <w:rPr>
                <w:noProof/>
                <w:webHidden/>
              </w:rPr>
            </w:r>
            <w:r w:rsidR="00CE7007">
              <w:rPr>
                <w:noProof/>
                <w:webHidden/>
              </w:rPr>
              <w:fldChar w:fldCharType="separate"/>
            </w:r>
            <w:r w:rsidR="00CE7007">
              <w:rPr>
                <w:noProof/>
                <w:webHidden/>
              </w:rPr>
              <w:t>42</w:t>
            </w:r>
            <w:r w:rsidR="00CE7007">
              <w:rPr>
                <w:noProof/>
                <w:webHidden/>
              </w:rPr>
              <w:fldChar w:fldCharType="end"/>
            </w:r>
          </w:hyperlink>
        </w:p>
        <w:p w14:paraId="6421BDDF" w14:textId="2EADA357" w:rsidR="00CE7007" w:rsidRDefault="00DA22DF">
          <w:pPr>
            <w:pStyle w:val="TDC1"/>
            <w:tabs>
              <w:tab w:val="right" w:leader="dot" w:pos="9252"/>
            </w:tabs>
            <w:rPr>
              <w:rFonts w:asciiTheme="minorHAnsi" w:eastAsiaTheme="minorEastAsia" w:hAnsiTheme="minorHAnsi" w:cstheme="minorBidi"/>
              <w:noProof/>
              <w:lang w:eastAsia="es-CO"/>
            </w:rPr>
          </w:pPr>
          <w:hyperlink w:anchor="_Toc99455352" w:history="1">
            <w:r w:rsidR="00CE7007" w:rsidRPr="00683874">
              <w:rPr>
                <w:rStyle w:val="Hipervnculo"/>
                <w:noProof/>
              </w:rPr>
              <w:t>NOTA 24. OTROS PASIVOS</w:t>
            </w:r>
            <w:r w:rsidR="00CE7007">
              <w:rPr>
                <w:noProof/>
                <w:webHidden/>
              </w:rPr>
              <w:tab/>
            </w:r>
            <w:r w:rsidR="00CE7007">
              <w:rPr>
                <w:noProof/>
                <w:webHidden/>
              </w:rPr>
              <w:fldChar w:fldCharType="begin"/>
            </w:r>
            <w:r w:rsidR="00CE7007">
              <w:rPr>
                <w:noProof/>
                <w:webHidden/>
              </w:rPr>
              <w:instrText xml:space="preserve"> PAGEREF _Toc99455352 \h </w:instrText>
            </w:r>
            <w:r w:rsidR="00CE7007">
              <w:rPr>
                <w:noProof/>
                <w:webHidden/>
              </w:rPr>
            </w:r>
            <w:r w:rsidR="00CE7007">
              <w:rPr>
                <w:noProof/>
                <w:webHidden/>
              </w:rPr>
              <w:fldChar w:fldCharType="separate"/>
            </w:r>
            <w:r w:rsidR="00CE7007">
              <w:rPr>
                <w:noProof/>
                <w:webHidden/>
              </w:rPr>
              <w:t>43</w:t>
            </w:r>
            <w:r w:rsidR="00CE7007">
              <w:rPr>
                <w:noProof/>
                <w:webHidden/>
              </w:rPr>
              <w:fldChar w:fldCharType="end"/>
            </w:r>
          </w:hyperlink>
        </w:p>
        <w:p w14:paraId="7D7E1004" w14:textId="25512939" w:rsidR="00CE7007" w:rsidRDefault="00DA22DF">
          <w:pPr>
            <w:pStyle w:val="TDC2"/>
            <w:tabs>
              <w:tab w:val="right" w:leader="dot" w:pos="9252"/>
            </w:tabs>
            <w:rPr>
              <w:rFonts w:cstheme="minorBidi"/>
              <w:noProof/>
            </w:rPr>
          </w:pPr>
          <w:hyperlink w:anchor="_Toc99455353"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_Toc99455353 \h </w:instrText>
            </w:r>
            <w:r w:rsidR="00CE7007">
              <w:rPr>
                <w:noProof/>
                <w:webHidden/>
              </w:rPr>
            </w:r>
            <w:r w:rsidR="00CE7007">
              <w:rPr>
                <w:noProof/>
                <w:webHidden/>
              </w:rPr>
              <w:fldChar w:fldCharType="separate"/>
            </w:r>
            <w:r w:rsidR="00CE7007">
              <w:rPr>
                <w:noProof/>
                <w:webHidden/>
              </w:rPr>
              <w:t>43</w:t>
            </w:r>
            <w:r w:rsidR="00CE7007">
              <w:rPr>
                <w:noProof/>
                <w:webHidden/>
              </w:rPr>
              <w:fldChar w:fldCharType="end"/>
            </w:r>
          </w:hyperlink>
        </w:p>
        <w:p w14:paraId="68395AE4" w14:textId="01F985EC" w:rsidR="00CE7007" w:rsidRDefault="00DA22DF">
          <w:pPr>
            <w:pStyle w:val="TDC2"/>
            <w:tabs>
              <w:tab w:val="left" w:pos="1100"/>
              <w:tab w:val="right" w:leader="dot" w:pos="9252"/>
            </w:tabs>
            <w:rPr>
              <w:rFonts w:cstheme="minorBidi"/>
              <w:noProof/>
            </w:rPr>
          </w:pPr>
          <w:hyperlink w:anchor="_Toc99455354" w:history="1">
            <w:r w:rsidR="00CE7007" w:rsidRPr="00683874">
              <w:rPr>
                <w:rStyle w:val="Hipervnculo"/>
                <w:noProof/>
              </w:rPr>
              <w:t>24.1.</w:t>
            </w:r>
            <w:r w:rsidR="00CE7007">
              <w:rPr>
                <w:rFonts w:cstheme="minorBidi"/>
                <w:noProof/>
              </w:rPr>
              <w:tab/>
            </w:r>
            <w:r w:rsidR="00CE7007" w:rsidRPr="00683874">
              <w:rPr>
                <w:rStyle w:val="Hipervnculo"/>
                <w:noProof/>
              </w:rPr>
              <w:t>Desglose – Subcuentas otros</w:t>
            </w:r>
            <w:r w:rsidR="00CE7007">
              <w:rPr>
                <w:noProof/>
                <w:webHidden/>
              </w:rPr>
              <w:tab/>
            </w:r>
            <w:r w:rsidR="00CE7007">
              <w:rPr>
                <w:noProof/>
                <w:webHidden/>
              </w:rPr>
              <w:fldChar w:fldCharType="begin"/>
            </w:r>
            <w:r w:rsidR="00CE7007">
              <w:rPr>
                <w:noProof/>
                <w:webHidden/>
              </w:rPr>
              <w:instrText xml:space="preserve"> PAGEREF _Toc99455354 \h </w:instrText>
            </w:r>
            <w:r w:rsidR="00CE7007">
              <w:rPr>
                <w:noProof/>
                <w:webHidden/>
              </w:rPr>
            </w:r>
            <w:r w:rsidR="00CE7007">
              <w:rPr>
                <w:noProof/>
                <w:webHidden/>
              </w:rPr>
              <w:fldChar w:fldCharType="separate"/>
            </w:r>
            <w:r w:rsidR="00CE7007">
              <w:rPr>
                <w:noProof/>
                <w:webHidden/>
              </w:rPr>
              <w:t>43</w:t>
            </w:r>
            <w:r w:rsidR="00CE7007">
              <w:rPr>
                <w:noProof/>
                <w:webHidden/>
              </w:rPr>
              <w:fldChar w:fldCharType="end"/>
            </w:r>
          </w:hyperlink>
        </w:p>
        <w:p w14:paraId="7B60DD54" w14:textId="424D1E88" w:rsidR="00CE7007" w:rsidRDefault="00DA22DF">
          <w:pPr>
            <w:pStyle w:val="TDC1"/>
            <w:tabs>
              <w:tab w:val="right" w:leader="dot" w:pos="9252"/>
            </w:tabs>
            <w:rPr>
              <w:rFonts w:asciiTheme="minorHAnsi" w:eastAsiaTheme="minorEastAsia" w:hAnsiTheme="minorHAnsi" w:cstheme="minorBidi"/>
              <w:noProof/>
              <w:lang w:eastAsia="es-CO"/>
            </w:rPr>
          </w:pPr>
          <w:hyperlink w:anchor="_Toc99455355" w:history="1">
            <w:r w:rsidR="00CE7007" w:rsidRPr="00683874">
              <w:rPr>
                <w:rStyle w:val="Hipervnculo"/>
                <w:noProof/>
              </w:rPr>
              <w:t>NOTA 25. ACTIVOS Y PASIVOS CONTINGENTES</w:t>
            </w:r>
            <w:r w:rsidR="00CE7007">
              <w:rPr>
                <w:noProof/>
                <w:webHidden/>
              </w:rPr>
              <w:tab/>
            </w:r>
            <w:r w:rsidR="00CE7007">
              <w:rPr>
                <w:noProof/>
                <w:webHidden/>
              </w:rPr>
              <w:fldChar w:fldCharType="begin"/>
            </w:r>
            <w:r w:rsidR="00CE7007">
              <w:rPr>
                <w:noProof/>
                <w:webHidden/>
              </w:rPr>
              <w:instrText xml:space="preserve"> PAGEREF _Toc99455355 \h </w:instrText>
            </w:r>
            <w:r w:rsidR="00CE7007">
              <w:rPr>
                <w:noProof/>
                <w:webHidden/>
              </w:rPr>
            </w:r>
            <w:r w:rsidR="00CE7007">
              <w:rPr>
                <w:noProof/>
                <w:webHidden/>
              </w:rPr>
              <w:fldChar w:fldCharType="separate"/>
            </w:r>
            <w:r w:rsidR="00CE7007">
              <w:rPr>
                <w:noProof/>
                <w:webHidden/>
              </w:rPr>
              <w:t>44</w:t>
            </w:r>
            <w:r w:rsidR="00CE7007">
              <w:rPr>
                <w:noProof/>
                <w:webHidden/>
              </w:rPr>
              <w:fldChar w:fldCharType="end"/>
            </w:r>
          </w:hyperlink>
        </w:p>
        <w:p w14:paraId="4E17CD0F" w14:textId="244EA3C0" w:rsidR="00CE7007" w:rsidRDefault="00DA22DF">
          <w:pPr>
            <w:pStyle w:val="TDC2"/>
            <w:tabs>
              <w:tab w:val="left" w:pos="1100"/>
              <w:tab w:val="right" w:leader="dot" w:pos="9252"/>
            </w:tabs>
            <w:rPr>
              <w:rFonts w:cstheme="minorBidi"/>
              <w:noProof/>
            </w:rPr>
          </w:pPr>
          <w:hyperlink w:anchor="_Toc99455356" w:history="1">
            <w:r w:rsidR="00CE7007" w:rsidRPr="00683874">
              <w:rPr>
                <w:rStyle w:val="Hipervnculo"/>
                <w:noProof/>
              </w:rPr>
              <w:t>25.1.</w:t>
            </w:r>
            <w:r w:rsidR="00CE7007">
              <w:rPr>
                <w:rFonts w:cstheme="minorBidi"/>
                <w:noProof/>
              </w:rPr>
              <w:tab/>
            </w:r>
            <w:r w:rsidR="00CE7007" w:rsidRPr="00683874">
              <w:rPr>
                <w:rStyle w:val="Hipervnculo"/>
                <w:noProof/>
              </w:rPr>
              <w:t>Activos contingentes</w:t>
            </w:r>
            <w:r w:rsidR="00CE7007">
              <w:rPr>
                <w:noProof/>
                <w:webHidden/>
              </w:rPr>
              <w:tab/>
            </w:r>
            <w:r w:rsidR="00CE7007">
              <w:rPr>
                <w:noProof/>
                <w:webHidden/>
              </w:rPr>
              <w:fldChar w:fldCharType="begin"/>
            </w:r>
            <w:r w:rsidR="00CE7007">
              <w:rPr>
                <w:noProof/>
                <w:webHidden/>
              </w:rPr>
              <w:instrText xml:space="preserve"> PAGEREF _Toc99455356 \h </w:instrText>
            </w:r>
            <w:r w:rsidR="00CE7007">
              <w:rPr>
                <w:noProof/>
                <w:webHidden/>
              </w:rPr>
            </w:r>
            <w:r w:rsidR="00CE7007">
              <w:rPr>
                <w:noProof/>
                <w:webHidden/>
              </w:rPr>
              <w:fldChar w:fldCharType="separate"/>
            </w:r>
            <w:r w:rsidR="00CE7007">
              <w:rPr>
                <w:noProof/>
                <w:webHidden/>
              </w:rPr>
              <w:t>44</w:t>
            </w:r>
            <w:r w:rsidR="00CE7007">
              <w:rPr>
                <w:noProof/>
                <w:webHidden/>
              </w:rPr>
              <w:fldChar w:fldCharType="end"/>
            </w:r>
          </w:hyperlink>
        </w:p>
        <w:p w14:paraId="0222A7DF" w14:textId="44CF80C1" w:rsidR="00CE7007" w:rsidRDefault="00DA22DF">
          <w:pPr>
            <w:pStyle w:val="TDC3"/>
            <w:tabs>
              <w:tab w:val="left" w:pos="1320"/>
              <w:tab w:val="right" w:leader="dot" w:pos="9252"/>
            </w:tabs>
            <w:rPr>
              <w:rFonts w:cstheme="minorBidi"/>
              <w:noProof/>
            </w:rPr>
          </w:pPr>
          <w:hyperlink w:anchor="_Toc99455357" w:history="1">
            <w:r w:rsidR="00CE7007" w:rsidRPr="00683874">
              <w:rPr>
                <w:rStyle w:val="Hipervnculo"/>
                <w:noProof/>
              </w:rPr>
              <w:t>25.1.1.</w:t>
            </w:r>
            <w:r w:rsidR="00CE7007">
              <w:rPr>
                <w:rFonts w:cstheme="minorBidi"/>
                <w:noProof/>
              </w:rPr>
              <w:tab/>
            </w:r>
            <w:r w:rsidR="00CE7007" w:rsidRPr="00683874">
              <w:rPr>
                <w:rStyle w:val="Hipervnculo"/>
                <w:noProof/>
              </w:rPr>
              <w:t>Revelaciones generales de activos contingentes</w:t>
            </w:r>
            <w:r w:rsidR="00CE7007">
              <w:rPr>
                <w:noProof/>
                <w:webHidden/>
              </w:rPr>
              <w:tab/>
            </w:r>
            <w:r w:rsidR="00CE7007">
              <w:rPr>
                <w:noProof/>
                <w:webHidden/>
              </w:rPr>
              <w:fldChar w:fldCharType="begin"/>
            </w:r>
            <w:r w:rsidR="00CE7007">
              <w:rPr>
                <w:noProof/>
                <w:webHidden/>
              </w:rPr>
              <w:instrText xml:space="preserve"> PAGEREF _Toc99455357 \h </w:instrText>
            </w:r>
            <w:r w:rsidR="00CE7007">
              <w:rPr>
                <w:noProof/>
                <w:webHidden/>
              </w:rPr>
            </w:r>
            <w:r w:rsidR="00CE7007">
              <w:rPr>
                <w:noProof/>
                <w:webHidden/>
              </w:rPr>
              <w:fldChar w:fldCharType="separate"/>
            </w:r>
            <w:r w:rsidR="00CE7007">
              <w:rPr>
                <w:noProof/>
                <w:webHidden/>
              </w:rPr>
              <w:t>44</w:t>
            </w:r>
            <w:r w:rsidR="00CE7007">
              <w:rPr>
                <w:noProof/>
                <w:webHidden/>
              </w:rPr>
              <w:fldChar w:fldCharType="end"/>
            </w:r>
          </w:hyperlink>
        </w:p>
        <w:p w14:paraId="068ECD50" w14:textId="176A098F" w:rsidR="00CE7007" w:rsidRDefault="00DA22DF">
          <w:pPr>
            <w:pStyle w:val="TDC2"/>
            <w:tabs>
              <w:tab w:val="left" w:pos="1100"/>
              <w:tab w:val="right" w:leader="dot" w:pos="9252"/>
            </w:tabs>
            <w:rPr>
              <w:rFonts w:cstheme="minorBidi"/>
              <w:noProof/>
            </w:rPr>
          </w:pPr>
          <w:hyperlink w:anchor="_Toc99455358" w:history="1">
            <w:r w:rsidR="00CE7007" w:rsidRPr="00683874">
              <w:rPr>
                <w:rStyle w:val="Hipervnculo"/>
                <w:noProof/>
              </w:rPr>
              <w:t>25.2.</w:t>
            </w:r>
            <w:r w:rsidR="00CE7007">
              <w:rPr>
                <w:rFonts w:cstheme="minorBidi"/>
                <w:noProof/>
              </w:rPr>
              <w:tab/>
            </w:r>
            <w:r w:rsidR="00CE7007" w:rsidRPr="00683874">
              <w:rPr>
                <w:rStyle w:val="Hipervnculo"/>
                <w:noProof/>
              </w:rPr>
              <w:t>Pasivos contingentes</w:t>
            </w:r>
            <w:r w:rsidR="00CE7007">
              <w:rPr>
                <w:noProof/>
                <w:webHidden/>
              </w:rPr>
              <w:tab/>
            </w:r>
            <w:r w:rsidR="00CE7007">
              <w:rPr>
                <w:noProof/>
                <w:webHidden/>
              </w:rPr>
              <w:fldChar w:fldCharType="begin"/>
            </w:r>
            <w:r w:rsidR="00CE7007">
              <w:rPr>
                <w:noProof/>
                <w:webHidden/>
              </w:rPr>
              <w:instrText xml:space="preserve"> PAGEREF _Toc99455358 \h </w:instrText>
            </w:r>
            <w:r w:rsidR="00CE7007">
              <w:rPr>
                <w:noProof/>
                <w:webHidden/>
              </w:rPr>
            </w:r>
            <w:r w:rsidR="00CE7007">
              <w:rPr>
                <w:noProof/>
                <w:webHidden/>
              </w:rPr>
              <w:fldChar w:fldCharType="separate"/>
            </w:r>
            <w:r w:rsidR="00CE7007">
              <w:rPr>
                <w:noProof/>
                <w:webHidden/>
              </w:rPr>
              <w:t>44</w:t>
            </w:r>
            <w:r w:rsidR="00CE7007">
              <w:rPr>
                <w:noProof/>
                <w:webHidden/>
              </w:rPr>
              <w:fldChar w:fldCharType="end"/>
            </w:r>
          </w:hyperlink>
        </w:p>
        <w:p w14:paraId="2F672B7D" w14:textId="1B774750" w:rsidR="00CE7007" w:rsidRDefault="00DA22DF">
          <w:pPr>
            <w:pStyle w:val="TDC3"/>
            <w:tabs>
              <w:tab w:val="left" w:pos="1320"/>
              <w:tab w:val="right" w:leader="dot" w:pos="9252"/>
            </w:tabs>
            <w:rPr>
              <w:rFonts w:cstheme="minorBidi"/>
              <w:noProof/>
            </w:rPr>
          </w:pPr>
          <w:hyperlink w:anchor="_Toc99455359" w:history="1">
            <w:r w:rsidR="00CE7007" w:rsidRPr="00683874">
              <w:rPr>
                <w:rStyle w:val="Hipervnculo"/>
                <w:noProof/>
              </w:rPr>
              <w:t>25.2.1.</w:t>
            </w:r>
            <w:r w:rsidR="00CE7007">
              <w:rPr>
                <w:rFonts w:cstheme="minorBidi"/>
                <w:noProof/>
              </w:rPr>
              <w:tab/>
            </w:r>
            <w:r w:rsidR="00CE7007" w:rsidRPr="00683874">
              <w:rPr>
                <w:rStyle w:val="Hipervnculo"/>
                <w:noProof/>
              </w:rPr>
              <w:t>Revelaciones generales de pasivos contingentes</w:t>
            </w:r>
            <w:r w:rsidR="00CE7007">
              <w:rPr>
                <w:noProof/>
                <w:webHidden/>
              </w:rPr>
              <w:tab/>
            </w:r>
            <w:r w:rsidR="00CE7007">
              <w:rPr>
                <w:noProof/>
                <w:webHidden/>
              </w:rPr>
              <w:fldChar w:fldCharType="begin"/>
            </w:r>
            <w:r w:rsidR="00CE7007">
              <w:rPr>
                <w:noProof/>
                <w:webHidden/>
              </w:rPr>
              <w:instrText xml:space="preserve"> PAGEREF _Toc99455359 \h </w:instrText>
            </w:r>
            <w:r w:rsidR="00CE7007">
              <w:rPr>
                <w:noProof/>
                <w:webHidden/>
              </w:rPr>
            </w:r>
            <w:r w:rsidR="00CE7007">
              <w:rPr>
                <w:noProof/>
                <w:webHidden/>
              </w:rPr>
              <w:fldChar w:fldCharType="separate"/>
            </w:r>
            <w:r w:rsidR="00CE7007">
              <w:rPr>
                <w:noProof/>
                <w:webHidden/>
              </w:rPr>
              <w:t>44</w:t>
            </w:r>
            <w:r w:rsidR="00CE7007">
              <w:rPr>
                <w:noProof/>
                <w:webHidden/>
              </w:rPr>
              <w:fldChar w:fldCharType="end"/>
            </w:r>
          </w:hyperlink>
        </w:p>
        <w:p w14:paraId="23FC3870" w14:textId="757B734A" w:rsidR="00CE7007" w:rsidRDefault="00DA22DF">
          <w:pPr>
            <w:pStyle w:val="TDC1"/>
            <w:tabs>
              <w:tab w:val="right" w:leader="dot" w:pos="9252"/>
            </w:tabs>
            <w:rPr>
              <w:rFonts w:asciiTheme="minorHAnsi" w:eastAsiaTheme="minorEastAsia" w:hAnsiTheme="minorHAnsi" w:cstheme="minorBidi"/>
              <w:noProof/>
              <w:lang w:eastAsia="es-CO"/>
            </w:rPr>
          </w:pPr>
          <w:hyperlink w:anchor="_Toc99455360" w:history="1">
            <w:r w:rsidR="00CE7007" w:rsidRPr="00683874">
              <w:rPr>
                <w:rStyle w:val="Hipervnculo"/>
                <w:noProof/>
              </w:rPr>
              <w:t>NOTA 26. CUENTAS DE ORDEN</w:t>
            </w:r>
            <w:r w:rsidR="00CE7007">
              <w:rPr>
                <w:noProof/>
                <w:webHidden/>
              </w:rPr>
              <w:tab/>
            </w:r>
            <w:r w:rsidR="00CE7007">
              <w:rPr>
                <w:noProof/>
                <w:webHidden/>
              </w:rPr>
              <w:fldChar w:fldCharType="begin"/>
            </w:r>
            <w:r w:rsidR="00CE7007">
              <w:rPr>
                <w:noProof/>
                <w:webHidden/>
              </w:rPr>
              <w:instrText xml:space="preserve"> PAGEREF _Toc99455360 \h </w:instrText>
            </w:r>
            <w:r w:rsidR="00CE7007">
              <w:rPr>
                <w:noProof/>
                <w:webHidden/>
              </w:rPr>
            </w:r>
            <w:r w:rsidR="00CE7007">
              <w:rPr>
                <w:noProof/>
                <w:webHidden/>
              </w:rPr>
              <w:fldChar w:fldCharType="separate"/>
            </w:r>
            <w:r w:rsidR="00CE7007">
              <w:rPr>
                <w:noProof/>
                <w:webHidden/>
              </w:rPr>
              <w:t>45</w:t>
            </w:r>
            <w:r w:rsidR="00CE7007">
              <w:rPr>
                <w:noProof/>
                <w:webHidden/>
              </w:rPr>
              <w:fldChar w:fldCharType="end"/>
            </w:r>
          </w:hyperlink>
        </w:p>
        <w:p w14:paraId="1E0DE9B5" w14:textId="39FBA0CC" w:rsidR="00CE7007" w:rsidRDefault="00DA22DF">
          <w:pPr>
            <w:pStyle w:val="TDC2"/>
            <w:tabs>
              <w:tab w:val="left" w:pos="1100"/>
              <w:tab w:val="right" w:leader="dot" w:pos="9252"/>
            </w:tabs>
            <w:rPr>
              <w:rFonts w:cstheme="minorBidi"/>
              <w:noProof/>
            </w:rPr>
          </w:pPr>
          <w:hyperlink w:anchor="_Toc99455361" w:history="1">
            <w:r w:rsidR="00CE7007" w:rsidRPr="00683874">
              <w:rPr>
                <w:rStyle w:val="Hipervnculo"/>
                <w:noProof/>
              </w:rPr>
              <w:t>26.1.</w:t>
            </w:r>
            <w:r w:rsidR="00CE7007">
              <w:rPr>
                <w:rFonts w:cstheme="minorBidi"/>
                <w:noProof/>
              </w:rPr>
              <w:tab/>
            </w:r>
            <w:r w:rsidR="00CE7007" w:rsidRPr="00683874">
              <w:rPr>
                <w:rStyle w:val="Hipervnculo"/>
                <w:noProof/>
              </w:rPr>
              <w:t>Cuentas de orden deudoras</w:t>
            </w:r>
            <w:r w:rsidR="00CE7007">
              <w:rPr>
                <w:noProof/>
                <w:webHidden/>
              </w:rPr>
              <w:tab/>
            </w:r>
            <w:r w:rsidR="00CE7007">
              <w:rPr>
                <w:noProof/>
                <w:webHidden/>
              </w:rPr>
              <w:fldChar w:fldCharType="begin"/>
            </w:r>
            <w:r w:rsidR="00CE7007">
              <w:rPr>
                <w:noProof/>
                <w:webHidden/>
              </w:rPr>
              <w:instrText xml:space="preserve"> PAGEREF _Toc99455361 \h </w:instrText>
            </w:r>
            <w:r w:rsidR="00CE7007">
              <w:rPr>
                <w:noProof/>
                <w:webHidden/>
              </w:rPr>
            </w:r>
            <w:r w:rsidR="00CE7007">
              <w:rPr>
                <w:noProof/>
                <w:webHidden/>
              </w:rPr>
              <w:fldChar w:fldCharType="separate"/>
            </w:r>
            <w:r w:rsidR="00CE7007">
              <w:rPr>
                <w:noProof/>
                <w:webHidden/>
              </w:rPr>
              <w:t>45</w:t>
            </w:r>
            <w:r w:rsidR="00CE7007">
              <w:rPr>
                <w:noProof/>
                <w:webHidden/>
              </w:rPr>
              <w:fldChar w:fldCharType="end"/>
            </w:r>
          </w:hyperlink>
        </w:p>
        <w:p w14:paraId="16CB8BC0" w14:textId="46C9650A" w:rsidR="00CE7007" w:rsidRDefault="00DA22DF">
          <w:pPr>
            <w:pStyle w:val="TDC2"/>
            <w:tabs>
              <w:tab w:val="left" w:pos="1100"/>
              <w:tab w:val="right" w:leader="dot" w:pos="9252"/>
            </w:tabs>
            <w:rPr>
              <w:rFonts w:cstheme="minorBidi"/>
              <w:noProof/>
            </w:rPr>
          </w:pPr>
          <w:hyperlink w:anchor="_Toc99455362" w:history="1">
            <w:r w:rsidR="00CE7007" w:rsidRPr="00683874">
              <w:rPr>
                <w:rStyle w:val="Hipervnculo"/>
                <w:noProof/>
              </w:rPr>
              <w:t>26.2.</w:t>
            </w:r>
            <w:r w:rsidR="00CE7007">
              <w:rPr>
                <w:rFonts w:cstheme="minorBidi"/>
                <w:noProof/>
              </w:rPr>
              <w:tab/>
            </w:r>
            <w:r w:rsidR="00CE7007" w:rsidRPr="00683874">
              <w:rPr>
                <w:rStyle w:val="Hipervnculo"/>
                <w:noProof/>
              </w:rPr>
              <w:t>Cuentas de orden acreedoras</w:t>
            </w:r>
            <w:r w:rsidR="00CE7007">
              <w:rPr>
                <w:noProof/>
                <w:webHidden/>
              </w:rPr>
              <w:tab/>
            </w:r>
            <w:r w:rsidR="00CE7007">
              <w:rPr>
                <w:noProof/>
                <w:webHidden/>
              </w:rPr>
              <w:fldChar w:fldCharType="begin"/>
            </w:r>
            <w:r w:rsidR="00CE7007">
              <w:rPr>
                <w:noProof/>
                <w:webHidden/>
              </w:rPr>
              <w:instrText xml:space="preserve"> PAGEREF _Toc99455362 \h </w:instrText>
            </w:r>
            <w:r w:rsidR="00CE7007">
              <w:rPr>
                <w:noProof/>
                <w:webHidden/>
              </w:rPr>
            </w:r>
            <w:r w:rsidR="00CE7007">
              <w:rPr>
                <w:noProof/>
                <w:webHidden/>
              </w:rPr>
              <w:fldChar w:fldCharType="separate"/>
            </w:r>
            <w:r w:rsidR="00CE7007">
              <w:rPr>
                <w:noProof/>
                <w:webHidden/>
              </w:rPr>
              <w:t>45</w:t>
            </w:r>
            <w:r w:rsidR="00CE7007">
              <w:rPr>
                <w:noProof/>
                <w:webHidden/>
              </w:rPr>
              <w:fldChar w:fldCharType="end"/>
            </w:r>
          </w:hyperlink>
        </w:p>
        <w:p w14:paraId="19BD0F6B" w14:textId="6AEF3E45" w:rsidR="00CE7007" w:rsidRDefault="00DA22DF">
          <w:pPr>
            <w:pStyle w:val="TDC1"/>
            <w:tabs>
              <w:tab w:val="right" w:leader="dot" w:pos="9252"/>
            </w:tabs>
            <w:rPr>
              <w:rFonts w:asciiTheme="minorHAnsi" w:eastAsiaTheme="minorEastAsia" w:hAnsiTheme="minorHAnsi" w:cstheme="minorBidi"/>
              <w:noProof/>
              <w:lang w:eastAsia="es-CO"/>
            </w:rPr>
          </w:pPr>
          <w:hyperlink w:anchor="_Toc99455363" w:history="1">
            <w:r w:rsidR="00CE7007" w:rsidRPr="00683874">
              <w:rPr>
                <w:rStyle w:val="Hipervnculo"/>
                <w:noProof/>
              </w:rPr>
              <w:t>NOTA 27. PATRIMONIO</w:t>
            </w:r>
            <w:r w:rsidR="00CE7007">
              <w:rPr>
                <w:noProof/>
                <w:webHidden/>
              </w:rPr>
              <w:tab/>
            </w:r>
            <w:r w:rsidR="00CE7007">
              <w:rPr>
                <w:noProof/>
                <w:webHidden/>
              </w:rPr>
              <w:fldChar w:fldCharType="begin"/>
            </w:r>
            <w:r w:rsidR="00CE7007">
              <w:rPr>
                <w:noProof/>
                <w:webHidden/>
              </w:rPr>
              <w:instrText xml:space="preserve"> PAGEREF _Toc99455363 \h </w:instrText>
            </w:r>
            <w:r w:rsidR="00CE7007">
              <w:rPr>
                <w:noProof/>
                <w:webHidden/>
              </w:rPr>
            </w:r>
            <w:r w:rsidR="00CE7007">
              <w:rPr>
                <w:noProof/>
                <w:webHidden/>
              </w:rPr>
              <w:fldChar w:fldCharType="separate"/>
            </w:r>
            <w:r w:rsidR="00CE7007">
              <w:rPr>
                <w:noProof/>
                <w:webHidden/>
              </w:rPr>
              <w:t>45</w:t>
            </w:r>
            <w:r w:rsidR="00CE7007">
              <w:rPr>
                <w:noProof/>
                <w:webHidden/>
              </w:rPr>
              <w:fldChar w:fldCharType="end"/>
            </w:r>
          </w:hyperlink>
        </w:p>
        <w:p w14:paraId="050542B8" w14:textId="240AD1DA" w:rsidR="00CE7007" w:rsidRDefault="00DA22DF">
          <w:pPr>
            <w:pStyle w:val="TDC2"/>
            <w:tabs>
              <w:tab w:val="right" w:leader="dot" w:pos="9252"/>
            </w:tabs>
            <w:rPr>
              <w:rFonts w:cstheme="minorBidi"/>
              <w:noProof/>
            </w:rPr>
          </w:pPr>
          <w:hyperlink w:anchor="_Toc99455364"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_Toc99455364 \h </w:instrText>
            </w:r>
            <w:r w:rsidR="00CE7007">
              <w:rPr>
                <w:noProof/>
                <w:webHidden/>
              </w:rPr>
            </w:r>
            <w:r w:rsidR="00CE7007">
              <w:rPr>
                <w:noProof/>
                <w:webHidden/>
              </w:rPr>
              <w:fldChar w:fldCharType="separate"/>
            </w:r>
            <w:r w:rsidR="00CE7007">
              <w:rPr>
                <w:noProof/>
                <w:webHidden/>
              </w:rPr>
              <w:t>45</w:t>
            </w:r>
            <w:r w:rsidR="00CE7007">
              <w:rPr>
                <w:noProof/>
                <w:webHidden/>
              </w:rPr>
              <w:fldChar w:fldCharType="end"/>
            </w:r>
          </w:hyperlink>
        </w:p>
        <w:p w14:paraId="35DD4993" w14:textId="6951B8D8" w:rsidR="00CE7007" w:rsidRDefault="00DA22DF">
          <w:pPr>
            <w:pStyle w:val="TDC1"/>
            <w:tabs>
              <w:tab w:val="right" w:leader="dot" w:pos="9252"/>
            </w:tabs>
            <w:rPr>
              <w:rFonts w:asciiTheme="minorHAnsi" w:eastAsiaTheme="minorEastAsia" w:hAnsiTheme="minorHAnsi" w:cstheme="minorBidi"/>
              <w:noProof/>
              <w:lang w:eastAsia="es-CO"/>
            </w:rPr>
          </w:pPr>
          <w:hyperlink w:anchor="_Toc99455365" w:history="1">
            <w:r w:rsidR="00CE7007" w:rsidRPr="00683874">
              <w:rPr>
                <w:rStyle w:val="Hipervnculo"/>
                <w:noProof/>
              </w:rPr>
              <w:t>NOTA 28. INGRESOS</w:t>
            </w:r>
            <w:r w:rsidR="00CE7007">
              <w:rPr>
                <w:noProof/>
                <w:webHidden/>
              </w:rPr>
              <w:tab/>
            </w:r>
            <w:r w:rsidR="00CE7007">
              <w:rPr>
                <w:noProof/>
                <w:webHidden/>
              </w:rPr>
              <w:fldChar w:fldCharType="begin"/>
            </w:r>
            <w:r w:rsidR="00CE7007">
              <w:rPr>
                <w:noProof/>
                <w:webHidden/>
              </w:rPr>
              <w:instrText xml:space="preserve"> PAGEREF _Toc99455365 \h </w:instrText>
            </w:r>
            <w:r w:rsidR="00CE7007">
              <w:rPr>
                <w:noProof/>
                <w:webHidden/>
              </w:rPr>
            </w:r>
            <w:r w:rsidR="00CE7007">
              <w:rPr>
                <w:noProof/>
                <w:webHidden/>
              </w:rPr>
              <w:fldChar w:fldCharType="separate"/>
            </w:r>
            <w:r w:rsidR="00CE7007">
              <w:rPr>
                <w:noProof/>
                <w:webHidden/>
              </w:rPr>
              <w:t>46</w:t>
            </w:r>
            <w:r w:rsidR="00CE7007">
              <w:rPr>
                <w:noProof/>
                <w:webHidden/>
              </w:rPr>
              <w:fldChar w:fldCharType="end"/>
            </w:r>
          </w:hyperlink>
        </w:p>
        <w:p w14:paraId="055C5B7E" w14:textId="77AAE9DC" w:rsidR="00CE7007" w:rsidRDefault="00DA22DF">
          <w:pPr>
            <w:pStyle w:val="TDC2"/>
            <w:tabs>
              <w:tab w:val="right" w:leader="dot" w:pos="9252"/>
            </w:tabs>
            <w:rPr>
              <w:rFonts w:cstheme="minorBidi"/>
              <w:noProof/>
            </w:rPr>
          </w:pPr>
          <w:hyperlink w:anchor="_Toc99455366"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_Toc99455366 \h </w:instrText>
            </w:r>
            <w:r w:rsidR="00CE7007">
              <w:rPr>
                <w:noProof/>
                <w:webHidden/>
              </w:rPr>
            </w:r>
            <w:r w:rsidR="00CE7007">
              <w:rPr>
                <w:noProof/>
                <w:webHidden/>
              </w:rPr>
              <w:fldChar w:fldCharType="separate"/>
            </w:r>
            <w:r w:rsidR="00CE7007">
              <w:rPr>
                <w:noProof/>
                <w:webHidden/>
              </w:rPr>
              <w:t>46</w:t>
            </w:r>
            <w:r w:rsidR="00CE7007">
              <w:rPr>
                <w:noProof/>
                <w:webHidden/>
              </w:rPr>
              <w:fldChar w:fldCharType="end"/>
            </w:r>
          </w:hyperlink>
        </w:p>
        <w:p w14:paraId="432EACB7" w14:textId="29ABDFA4" w:rsidR="00CE7007" w:rsidRDefault="00DA22DF">
          <w:pPr>
            <w:pStyle w:val="TDC2"/>
            <w:tabs>
              <w:tab w:val="left" w:pos="1100"/>
              <w:tab w:val="right" w:leader="dot" w:pos="9252"/>
            </w:tabs>
            <w:rPr>
              <w:rFonts w:cstheme="minorBidi"/>
              <w:noProof/>
            </w:rPr>
          </w:pPr>
          <w:hyperlink w:anchor="_Toc99455367" w:history="1">
            <w:r w:rsidR="00CE7007" w:rsidRPr="00683874">
              <w:rPr>
                <w:rStyle w:val="Hipervnculo"/>
                <w:noProof/>
              </w:rPr>
              <w:t>28.1.</w:t>
            </w:r>
            <w:r w:rsidR="00CE7007">
              <w:rPr>
                <w:rFonts w:cstheme="minorBidi"/>
                <w:noProof/>
              </w:rPr>
              <w:tab/>
            </w:r>
            <w:r w:rsidR="00CE7007" w:rsidRPr="00683874">
              <w:rPr>
                <w:rStyle w:val="Hipervnculo"/>
                <w:noProof/>
              </w:rPr>
              <w:t>Ingresos por venta de servicios (1)</w:t>
            </w:r>
            <w:r w:rsidR="00CE7007">
              <w:rPr>
                <w:noProof/>
                <w:webHidden/>
              </w:rPr>
              <w:tab/>
            </w:r>
            <w:r w:rsidR="00CE7007">
              <w:rPr>
                <w:noProof/>
                <w:webHidden/>
              </w:rPr>
              <w:fldChar w:fldCharType="begin"/>
            </w:r>
            <w:r w:rsidR="00CE7007">
              <w:rPr>
                <w:noProof/>
                <w:webHidden/>
              </w:rPr>
              <w:instrText xml:space="preserve"> PAGEREF _Toc99455367 \h </w:instrText>
            </w:r>
            <w:r w:rsidR="00CE7007">
              <w:rPr>
                <w:noProof/>
                <w:webHidden/>
              </w:rPr>
            </w:r>
            <w:r w:rsidR="00CE7007">
              <w:rPr>
                <w:noProof/>
                <w:webHidden/>
              </w:rPr>
              <w:fldChar w:fldCharType="separate"/>
            </w:r>
            <w:r w:rsidR="00CE7007">
              <w:rPr>
                <w:noProof/>
                <w:webHidden/>
              </w:rPr>
              <w:t>47</w:t>
            </w:r>
            <w:r w:rsidR="00CE7007">
              <w:rPr>
                <w:noProof/>
                <w:webHidden/>
              </w:rPr>
              <w:fldChar w:fldCharType="end"/>
            </w:r>
          </w:hyperlink>
        </w:p>
        <w:p w14:paraId="70A4CE4E" w14:textId="3FB8C816" w:rsidR="00CE7007" w:rsidRDefault="00DA22DF">
          <w:pPr>
            <w:pStyle w:val="TDC2"/>
            <w:tabs>
              <w:tab w:val="left" w:pos="1100"/>
              <w:tab w:val="right" w:leader="dot" w:pos="9252"/>
            </w:tabs>
            <w:rPr>
              <w:rFonts w:cstheme="minorBidi"/>
              <w:noProof/>
            </w:rPr>
          </w:pPr>
          <w:hyperlink w:anchor="_Toc99455368" w:history="1">
            <w:r w:rsidR="00CE7007" w:rsidRPr="00683874">
              <w:rPr>
                <w:rStyle w:val="Hipervnculo"/>
                <w:noProof/>
              </w:rPr>
              <w:t>28.2.</w:t>
            </w:r>
            <w:r w:rsidR="00CE7007">
              <w:rPr>
                <w:rFonts w:cstheme="minorBidi"/>
                <w:noProof/>
              </w:rPr>
              <w:tab/>
            </w:r>
            <w:r w:rsidR="00CE7007" w:rsidRPr="00683874">
              <w:rPr>
                <w:rStyle w:val="Hipervnculo"/>
                <w:noProof/>
              </w:rPr>
              <w:t>Subvenciones</w:t>
            </w:r>
            <w:r w:rsidR="00CE7007">
              <w:rPr>
                <w:noProof/>
                <w:webHidden/>
              </w:rPr>
              <w:tab/>
            </w:r>
            <w:r w:rsidR="00CE7007">
              <w:rPr>
                <w:noProof/>
                <w:webHidden/>
              </w:rPr>
              <w:fldChar w:fldCharType="begin"/>
            </w:r>
            <w:r w:rsidR="00CE7007">
              <w:rPr>
                <w:noProof/>
                <w:webHidden/>
              </w:rPr>
              <w:instrText xml:space="preserve"> PAGEREF _Toc99455368 \h </w:instrText>
            </w:r>
            <w:r w:rsidR="00CE7007">
              <w:rPr>
                <w:noProof/>
                <w:webHidden/>
              </w:rPr>
            </w:r>
            <w:r w:rsidR="00CE7007">
              <w:rPr>
                <w:noProof/>
                <w:webHidden/>
              </w:rPr>
              <w:fldChar w:fldCharType="separate"/>
            </w:r>
            <w:r w:rsidR="00CE7007">
              <w:rPr>
                <w:noProof/>
                <w:webHidden/>
              </w:rPr>
              <w:t>48</w:t>
            </w:r>
            <w:r w:rsidR="00CE7007">
              <w:rPr>
                <w:noProof/>
                <w:webHidden/>
              </w:rPr>
              <w:fldChar w:fldCharType="end"/>
            </w:r>
          </w:hyperlink>
        </w:p>
        <w:p w14:paraId="7D8B80C4" w14:textId="381581C9" w:rsidR="00CE7007" w:rsidRDefault="00DA22DF">
          <w:pPr>
            <w:pStyle w:val="TDC1"/>
            <w:tabs>
              <w:tab w:val="right" w:leader="dot" w:pos="9252"/>
            </w:tabs>
            <w:rPr>
              <w:rFonts w:asciiTheme="minorHAnsi" w:eastAsiaTheme="minorEastAsia" w:hAnsiTheme="minorHAnsi" w:cstheme="minorBidi"/>
              <w:noProof/>
              <w:lang w:eastAsia="es-CO"/>
            </w:rPr>
          </w:pPr>
          <w:hyperlink w:anchor="_Toc99455369" w:history="1">
            <w:r w:rsidR="00CE7007" w:rsidRPr="00683874">
              <w:rPr>
                <w:rStyle w:val="Hipervnculo"/>
                <w:noProof/>
              </w:rPr>
              <w:t>NOTA 29. GASTOS</w:t>
            </w:r>
            <w:r w:rsidR="00CE7007">
              <w:rPr>
                <w:noProof/>
                <w:webHidden/>
              </w:rPr>
              <w:tab/>
            </w:r>
            <w:r w:rsidR="00CE7007">
              <w:rPr>
                <w:noProof/>
                <w:webHidden/>
              </w:rPr>
              <w:fldChar w:fldCharType="begin"/>
            </w:r>
            <w:r w:rsidR="00CE7007">
              <w:rPr>
                <w:noProof/>
                <w:webHidden/>
              </w:rPr>
              <w:instrText xml:space="preserve"> PAGEREF _Toc99455369 \h </w:instrText>
            </w:r>
            <w:r w:rsidR="00CE7007">
              <w:rPr>
                <w:noProof/>
                <w:webHidden/>
              </w:rPr>
            </w:r>
            <w:r w:rsidR="00CE7007">
              <w:rPr>
                <w:noProof/>
                <w:webHidden/>
              </w:rPr>
              <w:fldChar w:fldCharType="separate"/>
            </w:r>
            <w:r w:rsidR="00CE7007">
              <w:rPr>
                <w:noProof/>
                <w:webHidden/>
              </w:rPr>
              <w:t>48</w:t>
            </w:r>
            <w:r w:rsidR="00CE7007">
              <w:rPr>
                <w:noProof/>
                <w:webHidden/>
              </w:rPr>
              <w:fldChar w:fldCharType="end"/>
            </w:r>
          </w:hyperlink>
        </w:p>
        <w:p w14:paraId="6BD7D7E9" w14:textId="3F414BEF" w:rsidR="00CE7007" w:rsidRDefault="00DA22DF">
          <w:pPr>
            <w:pStyle w:val="TDC2"/>
            <w:tabs>
              <w:tab w:val="right" w:leader="dot" w:pos="9252"/>
            </w:tabs>
            <w:rPr>
              <w:rFonts w:cstheme="minorBidi"/>
              <w:noProof/>
            </w:rPr>
          </w:pPr>
          <w:hyperlink w:anchor="_Toc99455370"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_Toc99455370 \h </w:instrText>
            </w:r>
            <w:r w:rsidR="00CE7007">
              <w:rPr>
                <w:noProof/>
                <w:webHidden/>
              </w:rPr>
            </w:r>
            <w:r w:rsidR="00CE7007">
              <w:rPr>
                <w:noProof/>
                <w:webHidden/>
              </w:rPr>
              <w:fldChar w:fldCharType="separate"/>
            </w:r>
            <w:r w:rsidR="00CE7007">
              <w:rPr>
                <w:noProof/>
                <w:webHidden/>
              </w:rPr>
              <w:t>48</w:t>
            </w:r>
            <w:r w:rsidR="00CE7007">
              <w:rPr>
                <w:noProof/>
                <w:webHidden/>
              </w:rPr>
              <w:fldChar w:fldCharType="end"/>
            </w:r>
          </w:hyperlink>
        </w:p>
        <w:p w14:paraId="5282F776" w14:textId="1EE70B8D" w:rsidR="00CE7007" w:rsidRDefault="00DA22DF">
          <w:pPr>
            <w:pStyle w:val="TDC2"/>
            <w:tabs>
              <w:tab w:val="left" w:pos="1100"/>
              <w:tab w:val="right" w:leader="dot" w:pos="9252"/>
            </w:tabs>
            <w:rPr>
              <w:rFonts w:cstheme="minorBidi"/>
              <w:noProof/>
            </w:rPr>
          </w:pPr>
          <w:hyperlink w:anchor="_Toc99455371" w:history="1">
            <w:r w:rsidR="00CE7007" w:rsidRPr="00683874">
              <w:rPr>
                <w:rStyle w:val="Hipervnculo"/>
                <w:noProof/>
              </w:rPr>
              <w:t>29.1.</w:t>
            </w:r>
            <w:r w:rsidR="00CE7007">
              <w:rPr>
                <w:rFonts w:cstheme="minorBidi"/>
                <w:noProof/>
              </w:rPr>
              <w:tab/>
            </w:r>
            <w:r w:rsidR="00CE7007" w:rsidRPr="00683874">
              <w:rPr>
                <w:rStyle w:val="Hipervnculo"/>
                <w:noProof/>
              </w:rPr>
              <w:t>Gastos de administración, de operación y de ventas</w:t>
            </w:r>
            <w:r w:rsidR="00CE7007">
              <w:rPr>
                <w:noProof/>
                <w:webHidden/>
              </w:rPr>
              <w:tab/>
            </w:r>
            <w:r w:rsidR="00CE7007">
              <w:rPr>
                <w:noProof/>
                <w:webHidden/>
              </w:rPr>
              <w:fldChar w:fldCharType="begin"/>
            </w:r>
            <w:r w:rsidR="00CE7007">
              <w:rPr>
                <w:noProof/>
                <w:webHidden/>
              </w:rPr>
              <w:instrText xml:space="preserve"> PAGEREF _Toc99455371 \h </w:instrText>
            </w:r>
            <w:r w:rsidR="00CE7007">
              <w:rPr>
                <w:noProof/>
                <w:webHidden/>
              </w:rPr>
            </w:r>
            <w:r w:rsidR="00CE7007">
              <w:rPr>
                <w:noProof/>
                <w:webHidden/>
              </w:rPr>
              <w:fldChar w:fldCharType="separate"/>
            </w:r>
            <w:r w:rsidR="00CE7007">
              <w:rPr>
                <w:noProof/>
                <w:webHidden/>
              </w:rPr>
              <w:t>49</w:t>
            </w:r>
            <w:r w:rsidR="00CE7007">
              <w:rPr>
                <w:noProof/>
                <w:webHidden/>
              </w:rPr>
              <w:fldChar w:fldCharType="end"/>
            </w:r>
          </w:hyperlink>
        </w:p>
        <w:p w14:paraId="055C406A" w14:textId="38FD82D1" w:rsidR="00CE7007" w:rsidRDefault="00DA22DF">
          <w:pPr>
            <w:pStyle w:val="TDC2"/>
            <w:tabs>
              <w:tab w:val="left" w:pos="1100"/>
              <w:tab w:val="right" w:leader="dot" w:pos="9252"/>
            </w:tabs>
            <w:rPr>
              <w:rFonts w:cstheme="minorBidi"/>
              <w:noProof/>
            </w:rPr>
          </w:pPr>
          <w:hyperlink w:anchor="_Toc99455372" w:history="1">
            <w:r w:rsidR="00CE7007" w:rsidRPr="00683874">
              <w:rPr>
                <w:rStyle w:val="Hipervnculo"/>
                <w:noProof/>
              </w:rPr>
              <w:t>29.2.</w:t>
            </w:r>
            <w:r w:rsidR="00CE7007">
              <w:rPr>
                <w:rFonts w:cstheme="minorBidi"/>
                <w:noProof/>
              </w:rPr>
              <w:tab/>
            </w:r>
            <w:r w:rsidR="00CE7007" w:rsidRPr="00683874">
              <w:rPr>
                <w:rStyle w:val="Hipervnculo"/>
                <w:noProof/>
              </w:rPr>
              <w:t>Deterioro, depreciaciones, amortizaciones y provisiones</w:t>
            </w:r>
            <w:r w:rsidR="00CE7007">
              <w:rPr>
                <w:noProof/>
                <w:webHidden/>
              </w:rPr>
              <w:tab/>
            </w:r>
            <w:r w:rsidR="00CE7007">
              <w:rPr>
                <w:noProof/>
                <w:webHidden/>
              </w:rPr>
              <w:fldChar w:fldCharType="begin"/>
            </w:r>
            <w:r w:rsidR="00CE7007">
              <w:rPr>
                <w:noProof/>
                <w:webHidden/>
              </w:rPr>
              <w:instrText xml:space="preserve"> PAGEREF _Toc99455372 \h </w:instrText>
            </w:r>
            <w:r w:rsidR="00CE7007">
              <w:rPr>
                <w:noProof/>
                <w:webHidden/>
              </w:rPr>
            </w:r>
            <w:r w:rsidR="00CE7007">
              <w:rPr>
                <w:noProof/>
                <w:webHidden/>
              </w:rPr>
              <w:fldChar w:fldCharType="separate"/>
            </w:r>
            <w:r w:rsidR="00CE7007">
              <w:rPr>
                <w:noProof/>
                <w:webHidden/>
              </w:rPr>
              <w:t>50</w:t>
            </w:r>
            <w:r w:rsidR="00CE7007">
              <w:rPr>
                <w:noProof/>
                <w:webHidden/>
              </w:rPr>
              <w:fldChar w:fldCharType="end"/>
            </w:r>
          </w:hyperlink>
        </w:p>
        <w:p w14:paraId="3F1FCE1E" w14:textId="4890B1A4" w:rsidR="00CE7007" w:rsidRDefault="00DA22DF">
          <w:pPr>
            <w:pStyle w:val="TDC2"/>
            <w:tabs>
              <w:tab w:val="left" w:pos="1100"/>
              <w:tab w:val="right" w:leader="dot" w:pos="9252"/>
            </w:tabs>
            <w:rPr>
              <w:rFonts w:cstheme="minorBidi"/>
              <w:noProof/>
            </w:rPr>
          </w:pPr>
          <w:hyperlink w:anchor="_Toc99455373" w:history="1">
            <w:r w:rsidR="00CE7007" w:rsidRPr="00683874">
              <w:rPr>
                <w:rStyle w:val="Hipervnculo"/>
                <w:noProof/>
              </w:rPr>
              <w:t>29.3.</w:t>
            </w:r>
            <w:r w:rsidR="00CE7007">
              <w:rPr>
                <w:rFonts w:cstheme="minorBidi"/>
                <w:noProof/>
              </w:rPr>
              <w:tab/>
            </w:r>
            <w:r w:rsidR="00CE7007" w:rsidRPr="00683874">
              <w:rPr>
                <w:rStyle w:val="Hipervnculo"/>
                <w:noProof/>
              </w:rPr>
              <w:t>Otros gastos</w:t>
            </w:r>
            <w:r w:rsidR="00CE7007">
              <w:rPr>
                <w:noProof/>
                <w:webHidden/>
              </w:rPr>
              <w:tab/>
            </w:r>
            <w:r w:rsidR="00CE7007">
              <w:rPr>
                <w:noProof/>
                <w:webHidden/>
              </w:rPr>
              <w:fldChar w:fldCharType="begin"/>
            </w:r>
            <w:r w:rsidR="00CE7007">
              <w:rPr>
                <w:noProof/>
                <w:webHidden/>
              </w:rPr>
              <w:instrText xml:space="preserve"> PAGEREF _Toc99455373 \h </w:instrText>
            </w:r>
            <w:r w:rsidR="00CE7007">
              <w:rPr>
                <w:noProof/>
                <w:webHidden/>
              </w:rPr>
            </w:r>
            <w:r w:rsidR="00CE7007">
              <w:rPr>
                <w:noProof/>
                <w:webHidden/>
              </w:rPr>
              <w:fldChar w:fldCharType="separate"/>
            </w:r>
            <w:r w:rsidR="00CE7007">
              <w:rPr>
                <w:noProof/>
                <w:webHidden/>
              </w:rPr>
              <w:t>50</w:t>
            </w:r>
            <w:r w:rsidR="00CE7007">
              <w:rPr>
                <w:noProof/>
                <w:webHidden/>
              </w:rPr>
              <w:fldChar w:fldCharType="end"/>
            </w:r>
          </w:hyperlink>
        </w:p>
        <w:p w14:paraId="423323CC" w14:textId="7BA16D17" w:rsidR="00CE7007" w:rsidRDefault="00DA22DF">
          <w:pPr>
            <w:pStyle w:val="TDC1"/>
            <w:tabs>
              <w:tab w:val="right" w:leader="dot" w:pos="9252"/>
            </w:tabs>
            <w:rPr>
              <w:rFonts w:asciiTheme="minorHAnsi" w:eastAsiaTheme="minorEastAsia" w:hAnsiTheme="minorHAnsi" w:cstheme="minorBidi"/>
              <w:noProof/>
              <w:lang w:eastAsia="es-CO"/>
            </w:rPr>
          </w:pPr>
          <w:hyperlink w:anchor="_Toc99455374" w:history="1">
            <w:r w:rsidR="00CE7007" w:rsidRPr="00683874">
              <w:rPr>
                <w:rStyle w:val="Hipervnculo"/>
                <w:noProof/>
              </w:rPr>
              <w:t>NOTA 30. COSTOS DE VENTAS</w:t>
            </w:r>
            <w:r w:rsidR="00CE7007">
              <w:rPr>
                <w:noProof/>
                <w:webHidden/>
              </w:rPr>
              <w:tab/>
            </w:r>
            <w:r w:rsidR="00CE7007">
              <w:rPr>
                <w:noProof/>
                <w:webHidden/>
              </w:rPr>
              <w:fldChar w:fldCharType="begin"/>
            </w:r>
            <w:r w:rsidR="00CE7007">
              <w:rPr>
                <w:noProof/>
                <w:webHidden/>
              </w:rPr>
              <w:instrText xml:space="preserve"> PAGEREF _Toc99455374 \h </w:instrText>
            </w:r>
            <w:r w:rsidR="00CE7007">
              <w:rPr>
                <w:noProof/>
                <w:webHidden/>
              </w:rPr>
            </w:r>
            <w:r w:rsidR="00CE7007">
              <w:rPr>
                <w:noProof/>
                <w:webHidden/>
              </w:rPr>
              <w:fldChar w:fldCharType="separate"/>
            </w:r>
            <w:r w:rsidR="00CE7007">
              <w:rPr>
                <w:noProof/>
                <w:webHidden/>
              </w:rPr>
              <w:t>50</w:t>
            </w:r>
            <w:r w:rsidR="00CE7007">
              <w:rPr>
                <w:noProof/>
                <w:webHidden/>
              </w:rPr>
              <w:fldChar w:fldCharType="end"/>
            </w:r>
          </w:hyperlink>
        </w:p>
        <w:p w14:paraId="3EF12D37" w14:textId="43569392" w:rsidR="00CE7007" w:rsidRDefault="00DA22DF">
          <w:pPr>
            <w:pStyle w:val="TDC2"/>
            <w:tabs>
              <w:tab w:val="right" w:leader="dot" w:pos="9252"/>
            </w:tabs>
            <w:rPr>
              <w:rFonts w:cstheme="minorBidi"/>
              <w:noProof/>
            </w:rPr>
          </w:pPr>
          <w:hyperlink w:anchor="_Toc99455375"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_Toc99455375 \h </w:instrText>
            </w:r>
            <w:r w:rsidR="00CE7007">
              <w:rPr>
                <w:noProof/>
                <w:webHidden/>
              </w:rPr>
            </w:r>
            <w:r w:rsidR="00CE7007">
              <w:rPr>
                <w:noProof/>
                <w:webHidden/>
              </w:rPr>
              <w:fldChar w:fldCharType="separate"/>
            </w:r>
            <w:r w:rsidR="00CE7007">
              <w:rPr>
                <w:noProof/>
                <w:webHidden/>
              </w:rPr>
              <w:t>50</w:t>
            </w:r>
            <w:r w:rsidR="00CE7007">
              <w:rPr>
                <w:noProof/>
                <w:webHidden/>
              </w:rPr>
              <w:fldChar w:fldCharType="end"/>
            </w:r>
          </w:hyperlink>
        </w:p>
        <w:p w14:paraId="4560643B" w14:textId="0268C319" w:rsidR="00CE7007" w:rsidRDefault="00DA22DF">
          <w:pPr>
            <w:pStyle w:val="TDC2"/>
            <w:tabs>
              <w:tab w:val="left" w:pos="1100"/>
              <w:tab w:val="right" w:leader="dot" w:pos="9252"/>
            </w:tabs>
            <w:rPr>
              <w:rFonts w:cstheme="minorBidi"/>
              <w:noProof/>
            </w:rPr>
          </w:pPr>
          <w:hyperlink w:anchor="_Toc99455376" w:history="1">
            <w:r w:rsidR="00CE7007" w:rsidRPr="00683874">
              <w:rPr>
                <w:rStyle w:val="Hipervnculo"/>
                <w:noProof/>
              </w:rPr>
              <w:t>30.1.</w:t>
            </w:r>
            <w:r w:rsidR="00CE7007">
              <w:rPr>
                <w:rFonts w:cstheme="minorBidi"/>
                <w:noProof/>
              </w:rPr>
              <w:tab/>
            </w:r>
            <w:r w:rsidR="00CE7007" w:rsidRPr="00683874">
              <w:rPr>
                <w:rStyle w:val="Hipervnculo"/>
                <w:noProof/>
              </w:rPr>
              <w:t>Costo de ventas de servicios</w:t>
            </w:r>
            <w:r w:rsidR="00CE7007">
              <w:rPr>
                <w:noProof/>
                <w:webHidden/>
              </w:rPr>
              <w:tab/>
            </w:r>
            <w:r w:rsidR="00CE7007">
              <w:rPr>
                <w:noProof/>
                <w:webHidden/>
              </w:rPr>
              <w:fldChar w:fldCharType="begin"/>
            </w:r>
            <w:r w:rsidR="00CE7007">
              <w:rPr>
                <w:noProof/>
                <w:webHidden/>
              </w:rPr>
              <w:instrText xml:space="preserve"> PAGEREF _Toc99455376 \h </w:instrText>
            </w:r>
            <w:r w:rsidR="00CE7007">
              <w:rPr>
                <w:noProof/>
                <w:webHidden/>
              </w:rPr>
            </w:r>
            <w:r w:rsidR="00CE7007">
              <w:rPr>
                <w:noProof/>
                <w:webHidden/>
              </w:rPr>
              <w:fldChar w:fldCharType="separate"/>
            </w:r>
            <w:r w:rsidR="00CE7007">
              <w:rPr>
                <w:noProof/>
                <w:webHidden/>
              </w:rPr>
              <w:t>51</w:t>
            </w:r>
            <w:r w:rsidR="00CE7007">
              <w:rPr>
                <w:noProof/>
                <w:webHidden/>
              </w:rPr>
              <w:fldChar w:fldCharType="end"/>
            </w:r>
          </w:hyperlink>
        </w:p>
        <w:p w14:paraId="1DF20FB1" w14:textId="66E780D4" w:rsidR="00CE7007" w:rsidRDefault="00DA22DF">
          <w:pPr>
            <w:pStyle w:val="TDC1"/>
            <w:tabs>
              <w:tab w:val="right" w:leader="dot" w:pos="9252"/>
            </w:tabs>
            <w:rPr>
              <w:rFonts w:asciiTheme="minorHAnsi" w:eastAsiaTheme="minorEastAsia" w:hAnsiTheme="minorHAnsi" w:cstheme="minorBidi"/>
              <w:noProof/>
              <w:lang w:eastAsia="es-CO"/>
            </w:rPr>
          </w:pPr>
          <w:hyperlink w:anchor="_Toc99455377" w:history="1">
            <w:r w:rsidR="00CE7007" w:rsidRPr="00683874">
              <w:rPr>
                <w:rStyle w:val="Hipervnculo"/>
                <w:noProof/>
              </w:rPr>
              <w:t>NOTA 31. COSTOS DE TRANSFORMACIÓN</w:t>
            </w:r>
            <w:r w:rsidR="00CE7007">
              <w:rPr>
                <w:noProof/>
                <w:webHidden/>
              </w:rPr>
              <w:tab/>
            </w:r>
            <w:r w:rsidR="00CE7007">
              <w:rPr>
                <w:noProof/>
                <w:webHidden/>
              </w:rPr>
              <w:fldChar w:fldCharType="begin"/>
            </w:r>
            <w:r w:rsidR="00CE7007">
              <w:rPr>
                <w:noProof/>
                <w:webHidden/>
              </w:rPr>
              <w:instrText xml:space="preserve"> PAGEREF _Toc99455377 \h </w:instrText>
            </w:r>
            <w:r w:rsidR="00CE7007">
              <w:rPr>
                <w:noProof/>
                <w:webHidden/>
              </w:rPr>
            </w:r>
            <w:r w:rsidR="00CE7007">
              <w:rPr>
                <w:noProof/>
                <w:webHidden/>
              </w:rPr>
              <w:fldChar w:fldCharType="separate"/>
            </w:r>
            <w:r w:rsidR="00CE7007">
              <w:rPr>
                <w:noProof/>
                <w:webHidden/>
              </w:rPr>
              <w:t>51</w:t>
            </w:r>
            <w:r w:rsidR="00CE7007">
              <w:rPr>
                <w:noProof/>
                <w:webHidden/>
              </w:rPr>
              <w:fldChar w:fldCharType="end"/>
            </w:r>
          </w:hyperlink>
        </w:p>
        <w:p w14:paraId="6A50AE1F" w14:textId="4680E54C" w:rsidR="00CE7007" w:rsidRDefault="00DA22DF">
          <w:pPr>
            <w:pStyle w:val="TDC2"/>
            <w:tabs>
              <w:tab w:val="right" w:leader="dot" w:pos="9252"/>
            </w:tabs>
            <w:rPr>
              <w:rFonts w:cstheme="minorBidi"/>
              <w:noProof/>
            </w:rPr>
          </w:pPr>
          <w:hyperlink w:anchor="_Toc99455378"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_Toc99455378 \h </w:instrText>
            </w:r>
            <w:r w:rsidR="00CE7007">
              <w:rPr>
                <w:noProof/>
                <w:webHidden/>
              </w:rPr>
            </w:r>
            <w:r w:rsidR="00CE7007">
              <w:rPr>
                <w:noProof/>
                <w:webHidden/>
              </w:rPr>
              <w:fldChar w:fldCharType="separate"/>
            </w:r>
            <w:r w:rsidR="00CE7007">
              <w:rPr>
                <w:noProof/>
                <w:webHidden/>
              </w:rPr>
              <w:t>51</w:t>
            </w:r>
            <w:r w:rsidR="00CE7007">
              <w:rPr>
                <w:noProof/>
                <w:webHidden/>
              </w:rPr>
              <w:fldChar w:fldCharType="end"/>
            </w:r>
          </w:hyperlink>
        </w:p>
        <w:p w14:paraId="3434DDA3" w14:textId="5E9F93BC" w:rsidR="00CE7007" w:rsidRDefault="00DA22DF">
          <w:pPr>
            <w:pStyle w:val="TDC2"/>
            <w:tabs>
              <w:tab w:val="left" w:pos="1100"/>
              <w:tab w:val="right" w:leader="dot" w:pos="9252"/>
            </w:tabs>
            <w:rPr>
              <w:rFonts w:cstheme="minorBidi"/>
              <w:noProof/>
            </w:rPr>
          </w:pPr>
          <w:hyperlink w:anchor="_Toc99455379" w:history="1">
            <w:r w:rsidR="00CE7007" w:rsidRPr="00683874">
              <w:rPr>
                <w:rStyle w:val="Hipervnculo"/>
                <w:noProof/>
              </w:rPr>
              <w:t>31.1.</w:t>
            </w:r>
            <w:r w:rsidR="00CE7007">
              <w:rPr>
                <w:rFonts w:cstheme="minorBidi"/>
                <w:noProof/>
              </w:rPr>
              <w:tab/>
            </w:r>
            <w:r w:rsidR="00CE7007" w:rsidRPr="00683874">
              <w:rPr>
                <w:rStyle w:val="Hipervnculo"/>
                <w:noProof/>
              </w:rPr>
              <w:t>Costo de transformación – Detalle (para efectos de presentación no incluye las cuentas de traslado de costos).</w:t>
            </w:r>
            <w:r w:rsidR="00CE7007">
              <w:rPr>
                <w:noProof/>
                <w:webHidden/>
              </w:rPr>
              <w:tab/>
            </w:r>
            <w:r w:rsidR="00CE7007">
              <w:rPr>
                <w:noProof/>
                <w:webHidden/>
              </w:rPr>
              <w:fldChar w:fldCharType="begin"/>
            </w:r>
            <w:r w:rsidR="00CE7007">
              <w:rPr>
                <w:noProof/>
                <w:webHidden/>
              </w:rPr>
              <w:instrText xml:space="preserve"> PAGEREF _Toc99455379 \h </w:instrText>
            </w:r>
            <w:r w:rsidR="00CE7007">
              <w:rPr>
                <w:noProof/>
                <w:webHidden/>
              </w:rPr>
            </w:r>
            <w:r w:rsidR="00CE7007">
              <w:rPr>
                <w:noProof/>
                <w:webHidden/>
              </w:rPr>
              <w:fldChar w:fldCharType="separate"/>
            </w:r>
            <w:r w:rsidR="00CE7007">
              <w:rPr>
                <w:noProof/>
                <w:webHidden/>
              </w:rPr>
              <w:t>52</w:t>
            </w:r>
            <w:r w:rsidR="00CE7007">
              <w:rPr>
                <w:noProof/>
                <w:webHidden/>
              </w:rPr>
              <w:fldChar w:fldCharType="end"/>
            </w:r>
          </w:hyperlink>
        </w:p>
        <w:p w14:paraId="6B279226" w14:textId="28FB2409" w:rsidR="00CE7007" w:rsidRDefault="00DA22DF">
          <w:pPr>
            <w:pStyle w:val="TDC1"/>
            <w:tabs>
              <w:tab w:val="right" w:leader="dot" w:pos="9252"/>
            </w:tabs>
            <w:rPr>
              <w:rFonts w:asciiTheme="minorHAnsi" w:eastAsiaTheme="minorEastAsia" w:hAnsiTheme="minorHAnsi" w:cstheme="minorBidi"/>
              <w:noProof/>
              <w:lang w:eastAsia="es-CO"/>
            </w:rPr>
          </w:pPr>
          <w:hyperlink w:anchor="_Toc99455380" w:history="1">
            <w:r w:rsidR="00CE7007" w:rsidRPr="00683874">
              <w:rPr>
                <w:rStyle w:val="Hipervnculo"/>
                <w:noProof/>
              </w:rPr>
              <w:t>NOTA 34. EFECTOS DE LAS VARIACIONES EN LAS TASAS DE CAMBIO DE LA MONEDA EXTRANJERA</w:t>
            </w:r>
            <w:r w:rsidR="00CE7007">
              <w:rPr>
                <w:noProof/>
                <w:webHidden/>
              </w:rPr>
              <w:tab/>
            </w:r>
            <w:r w:rsidR="00CE7007">
              <w:rPr>
                <w:noProof/>
                <w:webHidden/>
              </w:rPr>
              <w:fldChar w:fldCharType="begin"/>
            </w:r>
            <w:r w:rsidR="00CE7007">
              <w:rPr>
                <w:noProof/>
                <w:webHidden/>
              </w:rPr>
              <w:instrText xml:space="preserve"> PAGEREF _Toc99455380 \h </w:instrText>
            </w:r>
            <w:r w:rsidR="00CE7007">
              <w:rPr>
                <w:noProof/>
                <w:webHidden/>
              </w:rPr>
            </w:r>
            <w:r w:rsidR="00CE7007">
              <w:rPr>
                <w:noProof/>
                <w:webHidden/>
              </w:rPr>
              <w:fldChar w:fldCharType="separate"/>
            </w:r>
            <w:r w:rsidR="00CE7007">
              <w:rPr>
                <w:noProof/>
                <w:webHidden/>
              </w:rPr>
              <w:t>53</w:t>
            </w:r>
            <w:r w:rsidR="00CE7007">
              <w:rPr>
                <w:noProof/>
                <w:webHidden/>
              </w:rPr>
              <w:fldChar w:fldCharType="end"/>
            </w:r>
          </w:hyperlink>
        </w:p>
        <w:p w14:paraId="681EB722" w14:textId="26841106" w:rsidR="00CE7007" w:rsidRDefault="00DA22DF">
          <w:pPr>
            <w:pStyle w:val="TDC2"/>
            <w:tabs>
              <w:tab w:val="right" w:leader="dot" w:pos="9252"/>
            </w:tabs>
            <w:rPr>
              <w:rFonts w:cstheme="minorBidi"/>
              <w:noProof/>
            </w:rPr>
          </w:pPr>
          <w:hyperlink w:anchor="_Toc99455381" w:history="1">
            <w:r w:rsidR="00CE7007" w:rsidRPr="00683874">
              <w:rPr>
                <w:rStyle w:val="Hipervnculo"/>
                <w:noProof/>
              </w:rPr>
              <w:t>Composición</w:t>
            </w:r>
            <w:r w:rsidR="00CE7007">
              <w:rPr>
                <w:noProof/>
                <w:webHidden/>
              </w:rPr>
              <w:tab/>
            </w:r>
            <w:r w:rsidR="00CE7007">
              <w:rPr>
                <w:noProof/>
                <w:webHidden/>
              </w:rPr>
              <w:fldChar w:fldCharType="begin"/>
            </w:r>
            <w:r w:rsidR="00CE7007">
              <w:rPr>
                <w:noProof/>
                <w:webHidden/>
              </w:rPr>
              <w:instrText xml:space="preserve"> PAGEREF _Toc99455381 \h </w:instrText>
            </w:r>
            <w:r w:rsidR="00CE7007">
              <w:rPr>
                <w:noProof/>
                <w:webHidden/>
              </w:rPr>
            </w:r>
            <w:r w:rsidR="00CE7007">
              <w:rPr>
                <w:noProof/>
                <w:webHidden/>
              </w:rPr>
              <w:fldChar w:fldCharType="separate"/>
            </w:r>
            <w:r w:rsidR="00CE7007">
              <w:rPr>
                <w:noProof/>
                <w:webHidden/>
              </w:rPr>
              <w:t>53</w:t>
            </w:r>
            <w:r w:rsidR="00CE7007">
              <w:rPr>
                <w:noProof/>
                <w:webHidden/>
              </w:rPr>
              <w:fldChar w:fldCharType="end"/>
            </w:r>
          </w:hyperlink>
        </w:p>
        <w:p w14:paraId="7D6492F3" w14:textId="1FF36021" w:rsidR="00CE7007" w:rsidRDefault="00DA22DF">
          <w:pPr>
            <w:pStyle w:val="TDC2"/>
            <w:tabs>
              <w:tab w:val="left" w:pos="1100"/>
              <w:tab w:val="right" w:leader="dot" w:pos="9252"/>
            </w:tabs>
            <w:rPr>
              <w:rFonts w:cstheme="minorBidi"/>
              <w:noProof/>
            </w:rPr>
          </w:pPr>
          <w:hyperlink w:anchor="_Toc99455382" w:history="1">
            <w:r w:rsidR="00CE7007" w:rsidRPr="00683874">
              <w:rPr>
                <w:rStyle w:val="Hipervnculo"/>
                <w:noProof/>
              </w:rPr>
              <w:t>34.1.</w:t>
            </w:r>
            <w:r w:rsidR="00CE7007">
              <w:rPr>
                <w:rFonts w:cstheme="minorBidi"/>
                <w:noProof/>
              </w:rPr>
              <w:tab/>
            </w:r>
            <w:r w:rsidR="00CE7007" w:rsidRPr="00683874">
              <w:rPr>
                <w:rStyle w:val="Hipervnculo"/>
                <w:noProof/>
              </w:rPr>
              <w:t>Conciliación de ajustes por diferencia en cambio</w:t>
            </w:r>
            <w:r w:rsidR="00CE7007">
              <w:rPr>
                <w:noProof/>
                <w:webHidden/>
              </w:rPr>
              <w:tab/>
            </w:r>
            <w:r w:rsidR="00CE7007">
              <w:rPr>
                <w:noProof/>
                <w:webHidden/>
              </w:rPr>
              <w:fldChar w:fldCharType="begin"/>
            </w:r>
            <w:r w:rsidR="00CE7007">
              <w:rPr>
                <w:noProof/>
                <w:webHidden/>
              </w:rPr>
              <w:instrText xml:space="preserve"> PAGEREF _Toc99455382 \h </w:instrText>
            </w:r>
            <w:r w:rsidR="00CE7007">
              <w:rPr>
                <w:noProof/>
                <w:webHidden/>
              </w:rPr>
            </w:r>
            <w:r w:rsidR="00CE7007">
              <w:rPr>
                <w:noProof/>
                <w:webHidden/>
              </w:rPr>
              <w:fldChar w:fldCharType="separate"/>
            </w:r>
            <w:r w:rsidR="00CE7007">
              <w:rPr>
                <w:noProof/>
                <w:webHidden/>
              </w:rPr>
              <w:t>53</w:t>
            </w:r>
            <w:r w:rsidR="00CE7007">
              <w:rPr>
                <w:noProof/>
                <w:webHidden/>
              </w:rPr>
              <w:fldChar w:fldCharType="end"/>
            </w:r>
          </w:hyperlink>
        </w:p>
        <w:p w14:paraId="57DC67D3" w14:textId="1666814C" w:rsidR="00CA0525" w:rsidRDefault="00CA0525">
          <w:r w:rsidRPr="00600193">
            <w:rPr>
              <w:rFonts w:ascii="Times New Roman" w:hAnsi="Times New Roman"/>
              <w:b/>
              <w:bCs/>
              <w:sz w:val="24"/>
              <w:szCs w:val="24"/>
              <w:lang w:val="es-ES"/>
            </w:rPr>
            <w:fldChar w:fldCharType="end"/>
          </w:r>
        </w:p>
      </w:sdtContent>
    </w:sdt>
    <w:p w14:paraId="748B2A51" w14:textId="77332C65" w:rsidR="00B72E43" w:rsidRDefault="00B72E43">
      <w:pPr>
        <w:spacing w:after="0" w:line="240" w:lineRule="auto"/>
        <w:rPr>
          <w:rFonts w:ascii="Times New Roman" w:hAnsi="Times New Roman"/>
          <w:b/>
          <w:sz w:val="24"/>
          <w:szCs w:val="24"/>
        </w:rPr>
      </w:pPr>
      <w:r>
        <w:rPr>
          <w:rFonts w:ascii="Times New Roman" w:hAnsi="Times New Roman"/>
          <w:b/>
          <w:sz w:val="24"/>
          <w:szCs w:val="24"/>
        </w:rPr>
        <w:br w:type="page"/>
      </w:r>
    </w:p>
    <w:p w14:paraId="22B7E4F3" w14:textId="77777777" w:rsidR="003D1E05" w:rsidRDefault="003D1E05" w:rsidP="00073315">
      <w:pPr>
        <w:pStyle w:val="Ttulo1"/>
        <w:rPr>
          <w:sz w:val="24"/>
        </w:rPr>
      </w:pPr>
    </w:p>
    <w:p w14:paraId="5BCF37C9" w14:textId="5C7F8255" w:rsidR="00DA56D1" w:rsidRPr="00171AF6" w:rsidRDefault="00EB7731" w:rsidP="00073315">
      <w:pPr>
        <w:pStyle w:val="Ttulo1"/>
        <w:rPr>
          <w:sz w:val="24"/>
        </w:rPr>
      </w:pPr>
      <w:bookmarkStart w:id="1" w:name="_Toc99455288"/>
      <w:r w:rsidRPr="00EB7731">
        <w:rPr>
          <w:sz w:val="24"/>
        </w:rPr>
        <w:t>INSTITUTO COLOMBIANO PARA LA EVALUACION DE LA EDUCACION ICFES</w:t>
      </w:r>
      <w:bookmarkEnd w:id="1"/>
    </w:p>
    <w:p w14:paraId="4BAFE658" w14:textId="77777777" w:rsidR="00057B12" w:rsidRDefault="00057B12" w:rsidP="00073315">
      <w:pPr>
        <w:pStyle w:val="Ttulo1"/>
      </w:pPr>
    </w:p>
    <w:p w14:paraId="667C16A8" w14:textId="5BDD165D" w:rsidR="007A1C17" w:rsidRPr="00E2373F" w:rsidRDefault="007A1C17" w:rsidP="00073315">
      <w:pPr>
        <w:pStyle w:val="Ttulo1"/>
      </w:pPr>
      <w:bookmarkStart w:id="2" w:name="_Toc99455289"/>
      <w:r w:rsidRPr="00E2373F">
        <w:t>NOTA 1. ENTIDAD REPORTANTE</w:t>
      </w:r>
      <w:bookmarkEnd w:id="2"/>
    </w:p>
    <w:p w14:paraId="417E125C" w14:textId="77777777" w:rsidR="00BB7BD6" w:rsidRPr="00E2373F" w:rsidRDefault="00BB7BD6" w:rsidP="00667BC9">
      <w:pPr>
        <w:spacing w:after="0" w:line="240" w:lineRule="auto"/>
        <w:jc w:val="both"/>
        <w:rPr>
          <w:rFonts w:ascii="Times New Roman" w:hAnsi="Times New Roman"/>
          <w:sz w:val="24"/>
          <w:szCs w:val="24"/>
        </w:rPr>
      </w:pPr>
    </w:p>
    <w:p w14:paraId="26AD7C5C" w14:textId="77777777" w:rsidR="00675D2D" w:rsidRPr="00675D2D" w:rsidRDefault="00675D2D" w:rsidP="00675D2D">
      <w:pPr>
        <w:pStyle w:val="Prrafodelista"/>
        <w:spacing w:after="0" w:line="240" w:lineRule="auto"/>
        <w:ind w:left="360"/>
        <w:jc w:val="both"/>
        <w:rPr>
          <w:rFonts w:ascii="Times New Roman" w:hAnsi="Times New Roman"/>
          <w:b/>
          <w:bCs/>
          <w:sz w:val="24"/>
          <w:szCs w:val="24"/>
        </w:rPr>
      </w:pPr>
      <w:r w:rsidRPr="00675D2D">
        <w:rPr>
          <w:rFonts w:ascii="Times New Roman" w:hAnsi="Times New Roman"/>
          <w:b/>
          <w:bCs/>
          <w:sz w:val="24"/>
          <w:szCs w:val="24"/>
        </w:rPr>
        <w:t xml:space="preserve">RESEÑA HISTÓRICA </w:t>
      </w:r>
    </w:p>
    <w:p w14:paraId="4AF73297" w14:textId="77777777" w:rsidR="00540A64" w:rsidRDefault="00540A64" w:rsidP="00675D2D">
      <w:pPr>
        <w:pStyle w:val="Prrafodelista"/>
        <w:spacing w:after="0" w:line="240" w:lineRule="auto"/>
        <w:ind w:left="360"/>
        <w:jc w:val="both"/>
        <w:rPr>
          <w:rFonts w:ascii="Times New Roman" w:hAnsi="Times New Roman"/>
          <w:sz w:val="24"/>
          <w:szCs w:val="24"/>
        </w:rPr>
      </w:pPr>
    </w:p>
    <w:p w14:paraId="5EC9AE3C" w14:textId="5C5BDB41" w:rsidR="00675D2D" w:rsidRPr="00675D2D" w:rsidRDefault="00675D2D" w:rsidP="00675D2D">
      <w:pPr>
        <w:pStyle w:val="Prrafodelista"/>
        <w:spacing w:after="0" w:line="240" w:lineRule="auto"/>
        <w:ind w:left="360"/>
        <w:jc w:val="both"/>
        <w:rPr>
          <w:rFonts w:ascii="Times New Roman" w:hAnsi="Times New Roman"/>
          <w:sz w:val="24"/>
          <w:szCs w:val="24"/>
        </w:rPr>
      </w:pPr>
      <w:r w:rsidRPr="00675D2D">
        <w:rPr>
          <w:rFonts w:ascii="Times New Roman" w:hAnsi="Times New Roman"/>
          <w:sz w:val="24"/>
          <w:szCs w:val="24"/>
        </w:rPr>
        <w:t>El Instituto Colombiano para la Evaluación de la Educación, es una Empresa estatal de carácter social del sector Educación Nacional, entidad pública descentralizada del orden nacional, de naturaleza especial, con personería jurídica, autonomía administrativa y de patrimonio propio, vinculada al Ministerio de Educación Nacional (MEN).</w:t>
      </w:r>
    </w:p>
    <w:p w14:paraId="7A2E1AD2" w14:textId="77777777" w:rsidR="00675D2D" w:rsidRPr="00675D2D" w:rsidRDefault="00675D2D" w:rsidP="00675D2D">
      <w:pPr>
        <w:pStyle w:val="Prrafodelista"/>
        <w:spacing w:after="0" w:line="240" w:lineRule="auto"/>
        <w:ind w:left="360"/>
        <w:jc w:val="both"/>
        <w:rPr>
          <w:rFonts w:ascii="Times New Roman" w:hAnsi="Times New Roman"/>
          <w:sz w:val="24"/>
          <w:szCs w:val="24"/>
        </w:rPr>
      </w:pPr>
    </w:p>
    <w:p w14:paraId="55C7E120" w14:textId="77777777" w:rsidR="00675D2D" w:rsidRPr="00675D2D" w:rsidRDefault="00675D2D" w:rsidP="00675D2D">
      <w:pPr>
        <w:pStyle w:val="Prrafodelista"/>
        <w:spacing w:after="0" w:line="240" w:lineRule="auto"/>
        <w:ind w:left="360"/>
        <w:jc w:val="both"/>
        <w:rPr>
          <w:rFonts w:ascii="Times New Roman" w:hAnsi="Times New Roman"/>
          <w:sz w:val="24"/>
          <w:szCs w:val="24"/>
        </w:rPr>
      </w:pPr>
      <w:r w:rsidRPr="00675D2D">
        <w:rPr>
          <w:rFonts w:ascii="Times New Roman" w:hAnsi="Times New Roman"/>
          <w:sz w:val="24"/>
          <w:szCs w:val="24"/>
        </w:rPr>
        <w:t xml:space="preserve">Tiene su origen en el Fondo Universitario Nacional, el cual fue reorganizado en la reforma a la administración pública por el Decreto Extraordinario 3156 de 1968; mediante Decreto 089 de 1976, fue reestructurado por primera vez, mantuvo su carácter de establecimiento público adscrito al Ministerio de Educación Nacional, y se le atribuyeron de manera expresa las funciones, de "auxiliar del Gobierno Nacional en lo relativo a la inspección y vigilancia de la educación superior", y de "prestar asistencia técnica y administrativa a las universidades." </w:t>
      </w:r>
    </w:p>
    <w:p w14:paraId="701465C2" w14:textId="77777777" w:rsidR="00675D2D" w:rsidRPr="00675D2D" w:rsidRDefault="00675D2D" w:rsidP="00675D2D">
      <w:pPr>
        <w:pStyle w:val="Prrafodelista"/>
        <w:spacing w:after="0" w:line="240" w:lineRule="auto"/>
        <w:ind w:left="360"/>
        <w:jc w:val="both"/>
        <w:rPr>
          <w:rFonts w:ascii="Times New Roman" w:hAnsi="Times New Roman"/>
          <w:sz w:val="24"/>
          <w:szCs w:val="24"/>
        </w:rPr>
      </w:pPr>
    </w:p>
    <w:p w14:paraId="5990BB36" w14:textId="77777777" w:rsidR="00675D2D" w:rsidRPr="00675D2D" w:rsidRDefault="00675D2D" w:rsidP="00675D2D">
      <w:pPr>
        <w:pStyle w:val="Prrafodelista"/>
        <w:spacing w:after="0" w:line="240" w:lineRule="auto"/>
        <w:ind w:left="360"/>
        <w:jc w:val="both"/>
        <w:rPr>
          <w:rFonts w:ascii="Times New Roman" w:hAnsi="Times New Roman"/>
          <w:sz w:val="24"/>
          <w:szCs w:val="24"/>
        </w:rPr>
      </w:pPr>
      <w:r w:rsidRPr="00675D2D">
        <w:rPr>
          <w:rFonts w:ascii="Times New Roman" w:hAnsi="Times New Roman"/>
          <w:sz w:val="24"/>
          <w:szCs w:val="24"/>
        </w:rPr>
        <w:t xml:space="preserve">Cuatro años después, se expidió el Decreto Ley 081 de 1980, por el cual se reorganizó el instituto y se estableció que continuaba siendo un establecimiento público adscrito al Ministerio de Educación Nacional, "auxiliar del gobierno para el ejercicio de las funciones que constitucionalmente le corresponden con respecto a la educación superior". </w:t>
      </w:r>
    </w:p>
    <w:p w14:paraId="206AEAA6" w14:textId="77777777" w:rsidR="00675D2D" w:rsidRPr="00675D2D" w:rsidRDefault="00675D2D" w:rsidP="00675D2D">
      <w:pPr>
        <w:pStyle w:val="Prrafodelista"/>
        <w:spacing w:after="0" w:line="240" w:lineRule="auto"/>
        <w:ind w:left="360"/>
        <w:jc w:val="both"/>
        <w:rPr>
          <w:rFonts w:ascii="Times New Roman" w:hAnsi="Times New Roman"/>
          <w:sz w:val="24"/>
          <w:szCs w:val="24"/>
        </w:rPr>
      </w:pPr>
    </w:p>
    <w:p w14:paraId="40B8A896" w14:textId="77777777" w:rsidR="00675D2D" w:rsidRPr="00675D2D" w:rsidRDefault="00675D2D" w:rsidP="00675D2D">
      <w:pPr>
        <w:pStyle w:val="Prrafodelista"/>
        <w:spacing w:after="0" w:line="240" w:lineRule="auto"/>
        <w:ind w:left="360"/>
        <w:jc w:val="both"/>
        <w:rPr>
          <w:rFonts w:ascii="Times New Roman" w:hAnsi="Times New Roman"/>
          <w:sz w:val="24"/>
          <w:szCs w:val="24"/>
        </w:rPr>
      </w:pPr>
      <w:r w:rsidRPr="00675D2D">
        <w:rPr>
          <w:rFonts w:ascii="Times New Roman" w:hAnsi="Times New Roman"/>
          <w:sz w:val="24"/>
          <w:szCs w:val="24"/>
        </w:rPr>
        <w:t xml:space="preserve">Posteriormente y con la promulgación de la Constitución Política de 1991, Colombia se instituyó como un Estado Social de Derecho, en el que la educación adquirió el carácter de derecho fundamental y de servicio público con una función social, (artículo 67), y se reconoció la autonomía universitaria (artículo 69). Ese cambio de paradigma exigió una reforma de fondo del Sistema de la Educación Superior hasta entonces vigente, reforma que además encontraba un fundamento constitucional expreso en lo dispuesto en el inciso segundo del citado artículo 69. Para tal efecto, fue expedida la Ley 30 de 1992, por la cual "...se organiza el servicio público de la educación superior", señalando en su artículo 37 que el Icfes "es un establecimiento público del orden nacional, adscrito al Ministerio de Educación."; no obstante que el Icfes mantuvo su naturaleza jurídica, el organismo debía ser reestructurado para adaptarlo al nuevo ordenamiento y a las características del sistema que se consagró en la ley 30, lo que implicó replantear su estructura y funciones, diseñándolas acordes con el nuevo paradigma de organización del Estado y la nueva normativa expedida en desarrollo de los mandatos específicos de la Constitución. Es así como haciendo uso de facultades especiales el Gobierno Nacional conferidas en dicha ley, expide el Decreto 1211 de 1993. </w:t>
      </w:r>
    </w:p>
    <w:p w14:paraId="07286ADF" w14:textId="77777777" w:rsidR="00675D2D" w:rsidRPr="00675D2D" w:rsidRDefault="00675D2D" w:rsidP="00675D2D">
      <w:pPr>
        <w:pStyle w:val="Prrafodelista"/>
        <w:spacing w:after="0" w:line="240" w:lineRule="auto"/>
        <w:ind w:left="360"/>
        <w:jc w:val="both"/>
        <w:rPr>
          <w:rFonts w:ascii="Times New Roman" w:hAnsi="Times New Roman"/>
          <w:sz w:val="24"/>
          <w:szCs w:val="24"/>
        </w:rPr>
      </w:pPr>
    </w:p>
    <w:p w14:paraId="52427748" w14:textId="10332493" w:rsidR="00BB7BD6" w:rsidRDefault="00675D2D" w:rsidP="00675D2D">
      <w:pPr>
        <w:pStyle w:val="Prrafodelista"/>
        <w:spacing w:after="0" w:line="240" w:lineRule="auto"/>
        <w:ind w:left="360"/>
        <w:jc w:val="both"/>
        <w:rPr>
          <w:rFonts w:ascii="Times New Roman" w:hAnsi="Times New Roman"/>
          <w:sz w:val="24"/>
          <w:szCs w:val="24"/>
        </w:rPr>
      </w:pPr>
      <w:r w:rsidRPr="00675D2D">
        <w:rPr>
          <w:rFonts w:ascii="Times New Roman" w:hAnsi="Times New Roman"/>
          <w:sz w:val="24"/>
          <w:szCs w:val="24"/>
        </w:rPr>
        <w:t xml:space="preserve">En el año de 1999, mediante el Decreto 2662 fue objeto de una nueva reestructuración, con el fin de fortalecer las áreas misionales; posteriormente en el año 2003, con el ánimo de dar énfasis a la función evaluadora se trasladaron al Ministerio de Educación Nacional las funciones de inspección y vigilancia y la de convalidación y homologación de títulos, los Comités Regionales de Educación Superior CRES, el Consejo Nacional de Acreditación y, la Comisión Nacional de Maestrías y Doctorados. Por último, la ley 1324 de 2009 fija </w:t>
      </w:r>
      <w:r w:rsidRPr="00675D2D">
        <w:rPr>
          <w:rFonts w:ascii="Times New Roman" w:hAnsi="Times New Roman"/>
          <w:sz w:val="24"/>
          <w:szCs w:val="24"/>
        </w:rPr>
        <w:lastRenderedPageBreak/>
        <w:t>parámetros y criterios para organizar el Sistema de Evaluación de la Calidad de la educación, ordena una nueva reestructuración del instituto, con el fin de trasladar la función de Fomento de la Educación Superior y fortalecer la evaluación educativa, de otra parte, le asigna la función de adelantar investigación sobre los factores que inciden en la calidad de la educación.</w:t>
      </w:r>
    </w:p>
    <w:p w14:paraId="150EE2BD" w14:textId="4A8913E1" w:rsidR="0005571F" w:rsidRDefault="0005571F" w:rsidP="00675D2D">
      <w:pPr>
        <w:pStyle w:val="Prrafodelista"/>
        <w:spacing w:after="0" w:line="240" w:lineRule="auto"/>
        <w:ind w:left="360"/>
        <w:jc w:val="both"/>
        <w:rPr>
          <w:rFonts w:ascii="Times New Roman" w:hAnsi="Times New Roman"/>
          <w:sz w:val="24"/>
          <w:szCs w:val="24"/>
        </w:rPr>
      </w:pPr>
    </w:p>
    <w:p w14:paraId="07CC6BEB" w14:textId="7DAD4B78" w:rsidR="0005571F" w:rsidRDefault="00774CDA" w:rsidP="00675D2D">
      <w:pPr>
        <w:pStyle w:val="Prrafodelista"/>
        <w:spacing w:after="0" w:line="240" w:lineRule="auto"/>
        <w:ind w:left="360"/>
        <w:jc w:val="both"/>
        <w:rPr>
          <w:rFonts w:ascii="Times New Roman" w:hAnsi="Times New Roman"/>
          <w:b/>
          <w:sz w:val="24"/>
          <w:szCs w:val="24"/>
          <w:lang w:eastAsia="x-none"/>
        </w:rPr>
      </w:pPr>
      <w:r w:rsidRPr="00C63D02">
        <w:rPr>
          <w:rFonts w:ascii="Times New Roman" w:hAnsi="Times New Roman"/>
          <w:b/>
          <w:sz w:val="24"/>
          <w:szCs w:val="24"/>
          <w:lang w:eastAsia="x-none"/>
        </w:rPr>
        <w:t>DIRECCIONAMIENTO ESTRATÉGICO</w:t>
      </w:r>
    </w:p>
    <w:p w14:paraId="7C353FAA" w14:textId="21D84D61" w:rsidR="00774CDA" w:rsidRDefault="00774CDA" w:rsidP="00675D2D">
      <w:pPr>
        <w:pStyle w:val="Prrafodelista"/>
        <w:spacing w:after="0" w:line="240" w:lineRule="auto"/>
        <w:ind w:left="360"/>
        <w:jc w:val="both"/>
        <w:rPr>
          <w:rFonts w:ascii="Times New Roman" w:hAnsi="Times New Roman"/>
          <w:b/>
          <w:sz w:val="24"/>
          <w:szCs w:val="24"/>
          <w:lang w:eastAsia="x-none"/>
        </w:rPr>
      </w:pPr>
    </w:p>
    <w:p w14:paraId="18273205" w14:textId="77777777" w:rsidR="003D6742" w:rsidRPr="003D6742" w:rsidRDefault="003D6742" w:rsidP="003D6742">
      <w:pPr>
        <w:pStyle w:val="Prrafodelista"/>
        <w:spacing w:after="0" w:line="240" w:lineRule="auto"/>
        <w:ind w:left="360"/>
        <w:jc w:val="both"/>
        <w:rPr>
          <w:rFonts w:ascii="Times New Roman" w:hAnsi="Times New Roman"/>
          <w:b/>
          <w:bCs/>
          <w:sz w:val="24"/>
          <w:szCs w:val="24"/>
        </w:rPr>
      </w:pPr>
      <w:r w:rsidRPr="003D6742">
        <w:rPr>
          <w:rFonts w:ascii="Times New Roman" w:hAnsi="Times New Roman"/>
          <w:b/>
          <w:bCs/>
          <w:sz w:val="24"/>
          <w:szCs w:val="24"/>
        </w:rPr>
        <w:t xml:space="preserve">Misión </w:t>
      </w:r>
    </w:p>
    <w:p w14:paraId="32B69666" w14:textId="77777777" w:rsidR="003D6742" w:rsidRPr="003D6742" w:rsidRDefault="003D6742" w:rsidP="003D6742">
      <w:pPr>
        <w:pStyle w:val="Prrafodelista"/>
        <w:spacing w:after="0" w:line="240" w:lineRule="auto"/>
        <w:ind w:left="360"/>
        <w:jc w:val="both"/>
        <w:rPr>
          <w:rFonts w:ascii="Times New Roman" w:hAnsi="Times New Roman"/>
          <w:sz w:val="24"/>
          <w:szCs w:val="24"/>
        </w:rPr>
      </w:pPr>
    </w:p>
    <w:p w14:paraId="021D3605" w14:textId="29FD5DD2" w:rsidR="00774CDA" w:rsidRDefault="003D6742" w:rsidP="003D6742">
      <w:pPr>
        <w:pStyle w:val="Prrafodelista"/>
        <w:spacing w:after="0" w:line="240" w:lineRule="auto"/>
        <w:ind w:left="360"/>
        <w:jc w:val="both"/>
        <w:rPr>
          <w:rFonts w:ascii="Times New Roman" w:hAnsi="Times New Roman"/>
          <w:sz w:val="24"/>
          <w:szCs w:val="24"/>
        </w:rPr>
      </w:pPr>
      <w:r w:rsidRPr="003D6742">
        <w:rPr>
          <w:rFonts w:ascii="Times New Roman" w:hAnsi="Times New Roman"/>
          <w:sz w:val="24"/>
          <w:szCs w:val="24"/>
        </w:rPr>
        <w:t>Ofrecer el servicio de evaluación de la educación en todos sus niveles, y adelantar investigación sobre los factores que inciden en la calidad educativa, con la finalidad de ofrecer información para mejorarla.</w:t>
      </w:r>
    </w:p>
    <w:p w14:paraId="78051368" w14:textId="75C67FFA" w:rsidR="003D6742" w:rsidRDefault="003D6742" w:rsidP="003D6742">
      <w:pPr>
        <w:pStyle w:val="Prrafodelista"/>
        <w:spacing w:after="0" w:line="240" w:lineRule="auto"/>
        <w:ind w:left="360"/>
        <w:jc w:val="both"/>
        <w:rPr>
          <w:rFonts w:ascii="Times New Roman" w:hAnsi="Times New Roman"/>
          <w:sz w:val="24"/>
          <w:szCs w:val="24"/>
        </w:rPr>
      </w:pPr>
    </w:p>
    <w:p w14:paraId="5A3EE591" w14:textId="77777777" w:rsidR="00B75222" w:rsidRPr="00B75222" w:rsidRDefault="00B75222" w:rsidP="00B75222">
      <w:pPr>
        <w:pStyle w:val="Prrafodelista"/>
        <w:spacing w:after="0" w:line="240" w:lineRule="auto"/>
        <w:ind w:left="360"/>
        <w:jc w:val="both"/>
        <w:rPr>
          <w:rFonts w:ascii="Times New Roman" w:hAnsi="Times New Roman"/>
          <w:b/>
          <w:bCs/>
          <w:sz w:val="24"/>
          <w:szCs w:val="24"/>
        </w:rPr>
      </w:pPr>
      <w:r w:rsidRPr="00B75222">
        <w:rPr>
          <w:rFonts w:ascii="Times New Roman" w:hAnsi="Times New Roman"/>
          <w:b/>
          <w:bCs/>
          <w:sz w:val="24"/>
          <w:szCs w:val="24"/>
        </w:rPr>
        <w:t xml:space="preserve">Visión </w:t>
      </w:r>
    </w:p>
    <w:p w14:paraId="39F9D1F4" w14:textId="77777777" w:rsidR="00B75222" w:rsidRPr="00B75222" w:rsidRDefault="00B75222" w:rsidP="00B75222">
      <w:pPr>
        <w:pStyle w:val="Prrafodelista"/>
        <w:spacing w:after="0" w:line="240" w:lineRule="auto"/>
        <w:ind w:left="360"/>
        <w:jc w:val="both"/>
        <w:rPr>
          <w:rFonts w:ascii="Times New Roman" w:hAnsi="Times New Roman"/>
          <w:sz w:val="24"/>
          <w:szCs w:val="24"/>
        </w:rPr>
      </w:pPr>
    </w:p>
    <w:p w14:paraId="5B289C1F" w14:textId="34E7BF5E" w:rsidR="003D6742" w:rsidRDefault="00B75222" w:rsidP="00B75222">
      <w:pPr>
        <w:pStyle w:val="Prrafodelista"/>
        <w:spacing w:after="0" w:line="240" w:lineRule="auto"/>
        <w:ind w:left="360"/>
        <w:jc w:val="both"/>
        <w:rPr>
          <w:rFonts w:ascii="Times New Roman" w:hAnsi="Times New Roman"/>
          <w:sz w:val="24"/>
          <w:szCs w:val="24"/>
        </w:rPr>
      </w:pPr>
      <w:r w:rsidRPr="00B75222">
        <w:rPr>
          <w:rFonts w:ascii="Times New Roman" w:hAnsi="Times New Roman"/>
          <w:sz w:val="24"/>
          <w:szCs w:val="24"/>
        </w:rPr>
        <w:t>En el 2030, el Icfes será el primer referente a nivel latinoamericano por la innovación, la calidad de sus procesos sostenibles de evaluación e investigación; con autonomía técnica y apalancado en el liderazgo de su talento humano altamente calificado, el uso estratégico de tecnología de punta y un enfoque incluyente para impulsar la transformación de la educación en el país.</w:t>
      </w:r>
    </w:p>
    <w:p w14:paraId="39A538D7" w14:textId="128252B8" w:rsidR="00B75222" w:rsidRDefault="00B75222" w:rsidP="00B75222">
      <w:pPr>
        <w:pStyle w:val="Prrafodelista"/>
        <w:spacing w:after="0" w:line="240" w:lineRule="auto"/>
        <w:ind w:left="360"/>
        <w:jc w:val="both"/>
        <w:rPr>
          <w:rFonts w:ascii="Times New Roman" w:hAnsi="Times New Roman"/>
          <w:sz w:val="24"/>
          <w:szCs w:val="24"/>
        </w:rPr>
      </w:pPr>
    </w:p>
    <w:p w14:paraId="16795DD4" w14:textId="77777777" w:rsidR="0034231D" w:rsidRPr="0034231D" w:rsidRDefault="0034231D" w:rsidP="0034231D">
      <w:pPr>
        <w:pStyle w:val="Prrafodelista"/>
        <w:spacing w:after="0" w:line="240" w:lineRule="auto"/>
        <w:ind w:left="360"/>
        <w:jc w:val="both"/>
        <w:rPr>
          <w:rFonts w:ascii="Times New Roman" w:hAnsi="Times New Roman"/>
          <w:b/>
          <w:bCs/>
          <w:sz w:val="24"/>
          <w:szCs w:val="24"/>
        </w:rPr>
      </w:pPr>
      <w:r w:rsidRPr="0034231D">
        <w:rPr>
          <w:rFonts w:ascii="Times New Roman" w:hAnsi="Times New Roman"/>
          <w:b/>
          <w:bCs/>
          <w:sz w:val="24"/>
          <w:szCs w:val="24"/>
        </w:rPr>
        <w:t>Mega</w:t>
      </w:r>
    </w:p>
    <w:p w14:paraId="49113A00" w14:textId="77777777" w:rsidR="0034231D" w:rsidRPr="0034231D" w:rsidRDefault="0034231D" w:rsidP="0034231D">
      <w:pPr>
        <w:pStyle w:val="Prrafodelista"/>
        <w:spacing w:after="0" w:line="240" w:lineRule="auto"/>
        <w:ind w:left="360"/>
        <w:jc w:val="both"/>
        <w:rPr>
          <w:rFonts w:ascii="Times New Roman" w:hAnsi="Times New Roman"/>
          <w:sz w:val="24"/>
          <w:szCs w:val="24"/>
        </w:rPr>
      </w:pPr>
    </w:p>
    <w:p w14:paraId="2CAC22AE" w14:textId="34EADD61" w:rsidR="00B75222" w:rsidRDefault="0034231D" w:rsidP="0034231D">
      <w:pPr>
        <w:pStyle w:val="Prrafodelista"/>
        <w:spacing w:after="0" w:line="240" w:lineRule="auto"/>
        <w:ind w:left="360"/>
        <w:jc w:val="both"/>
        <w:rPr>
          <w:rFonts w:ascii="Times New Roman" w:hAnsi="Times New Roman"/>
          <w:sz w:val="24"/>
          <w:szCs w:val="24"/>
        </w:rPr>
      </w:pPr>
      <w:r w:rsidRPr="0034231D">
        <w:rPr>
          <w:rFonts w:ascii="Times New Roman" w:hAnsi="Times New Roman"/>
          <w:sz w:val="24"/>
          <w:szCs w:val="24"/>
        </w:rPr>
        <w:t>En 2023, al menos el 5% de los evaluados presentará sus pruebas por computador; el Icfes habrá desarrollado 5 pre-pilotos de pruebas internacionales. La usabilidad de los datos e información que genera la entidad se habrá incrementado, y se duplicará el número de investigaciones sobre evaluación y calidad de la educación, como los principales insumos para contribuir a la transformación educativa en Colombia.</w:t>
      </w:r>
    </w:p>
    <w:p w14:paraId="17FD389A" w14:textId="77777777" w:rsidR="00675D2D" w:rsidRPr="00E2373F" w:rsidRDefault="00675D2D" w:rsidP="00675D2D">
      <w:pPr>
        <w:pStyle w:val="Prrafodelista"/>
        <w:spacing w:after="0" w:line="240" w:lineRule="auto"/>
        <w:ind w:left="360"/>
        <w:jc w:val="both"/>
        <w:rPr>
          <w:rFonts w:ascii="Times New Roman" w:hAnsi="Times New Roman"/>
          <w:sz w:val="24"/>
          <w:szCs w:val="24"/>
        </w:rPr>
      </w:pPr>
    </w:p>
    <w:p w14:paraId="61E58D90" w14:textId="169D0BA9" w:rsidR="000A24FA" w:rsidRPr="00DB2119" w:rsidRDefault="00F717BA" w:rsidP="00425DA9">
      <w:pPr>
        <w:pStyle w:val="Ttulo2"/>
        <w:numPr>
          <w:ilvl w:val="1"/>
          <w:numId w:val="5"/>
        </w:numPr>
        <w:ind w:left="567" w:hanging="567"/>
      </w:pPr>
      <w:bookmarkStart w:id="3" w:name="_Toc99455290"/>
      <w:r w:rsidRPr="00DB2119">
        <w:t>Identificación y funciones</w:t>
      </w:r>
      <w:bookmarkEnd w:id="3"/>
    </w:p>
    <w:p w14:paraId="1E232A73" w14:textId="77777777" w:rsidR="000A24FA" w:rsidRDefault="000A24FA" w:rsidP="00667BC9">
      <w:pPr>
        <w:pStyle w:val="Prrafodelista"/>
        <w:spacing w:after="0" w:line="240" w:lineRule="auto"/>
        <w:ind w:left="567"/>
        <w:jc w:val="both"/>
        <w:rPr>
          <w:rFonts w:ascii="Times New Roman" w:hAnsi="Times New Roman"/>
          <w:sz w:val="24"/>
          <w:szCs w:val="24"/>
        </w:rPr>
      </w:pPr>
    </w:p>
    <w:p w14:paraId="4910A4ED" w14:textId="78C78312" w:rsidR="00C22D5B" w:rsidRPr="00C63D02" w:rsidRDefault="00C22D5B" w:rsidP="00C8599D">
      <w:pPr>
        <w:suppressAutoHyphens/>
        <w:ind w:left="360" w:right="49"/>
        <w:jc w:val="both"/>
        <w:rPr>
          <w:rFonts w:ascii="Times New Roman" w:hAnsi="Times New Roman"/>
          <w:sz w:val="24"/>
          <w:szCs w:val="24"/>
        </w:rPr>
      </w:pPr>
      <w:r w:rsidRPr="00C63D02">
        <w:rPr>
          <w:rFonts w:ascii="Times New Roman" w:hAnsi="Times New Roman"/>
          <w:sz w:val="24"/>
          <w:szCs w:val="24"/>
        </w:rPr>
        <w:t>En cumplimiento de su objeto, la Empresa Icfes tendrá las funciones atribuidas</w:t>
      </w:r>
      <w:r w:rsidR="00C8599D">
        <w:rPr>
          <w:rFonts w:ascii="Times New Roman" w:hAnsi="Times New Roman"/>
          <w:sz w:val="24"/>
          <w:szCs w:val="24"/>
        </w:rPr>
        <w:t xml:space="preserve"> </w:t>
      </w:r>
      <w:r w:rsidRPr="00C63D02">
        <w:rPr>
          <w:rFonts w:ascii="Times New Roman" w:hAnsi="Times New Roman"/>
          <w:sz w:val="24"/>
          <w:szCs w:val="24"/>
        </w:rPr>
        <w:t>mediante el artículo 12 de la Ley 1324 de 2009 y otras afines a las mismas, a saber:</w:t>
      </w:r>
    </w:p>
    <w:p w14:paraId="2ACF8BB8" w14:textId="77777777" w:rsidR="00C22D5B" w:rsidRPr="00C63D02" w:rsidRDefault="00C22D5B" w:rsidP="00425DA9">
      <w:pPr>
        <w:pStyle w:val="Prrafodelista"/>
        <w:numPr>
          <w:ilvl w:val="0"/>
          <w:numId w:val="24"/>
        </w:numPr>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Establecer las metodologías y procedimientos que guían la evaluación externa de la calidad de la educación.</w:t>
      </w:r>
    </w:p>
    <w:p w14:paraId="73463659" w14:textId="7B993034" w:rsidR="00C22D5B" w:rsidRPr="00313AC7" w:rsidRDefault="00C22D5B" w:rsidP="00425DA9">
      <w:pPr>
        <w:pStyle w:val="Prrafodelista"/>
        <w:numPr>
          <w:ilvl w:val="0"/>
          <w:numId w:val="24"/>
        </w:numPr>
        <w:suppressAutoHyphens/>
        <w:spacing w:after="0" w:line="240" w:lineRule="auto"/>
        <w:ind w:left="720" w:right="49"/>
        <w:jc w:val="both"/>
        <w:rPr>
          <w:rFonts w:ascii="Times New Roman" w:hAnsi="Times New Roman"/>
          <w:sz w:val="24"/>
          <w:szCs w:val="24"/>
          <w:lang w:eastAsia="x-none"/>
        </w:rPr>
      </w:pPr>
      <w:r w:rsidRPr="00313AC7">
        <w:rPr>
          <w:rFonts w:ascii="Times New Roman" w:hAnsi="Times New Roman"/>
          <w:sz w:val="24"/>
          <w:szCs w:val="24"/>
          <w:lang w:eastAsia="x-none"/>
        </w:rPr>
        <w:t xml:space="preserve">Desarrollar la fundamentación teórica, diseñar, elaborar y aplicar instrumentos de evaluación de la calidad de la educación, dirigidos a los estudiantes de los niveles de educación básica, media y superior, de acuerdo con las orientaciones que para el efecto defina el Ministerio de Educación Nacional. </w:t>
      </w:r>
    </w:p>
    <w:p w14:paraId="679FE4F2" w14:textId="77777777" w:rsidR="00C22D5B" w:rsidRPr="00C63D02" w:rsidRDefault="00C22D5B" w:rsidP="00425DA9">
      <w:pPr>
        <w:pStyle w:val="Prrafodelista"/>
        <w:numPr>
          <w:ilvl w:val="0"/>
          <w:numId w:val="24"/>
        </w:numPr>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 xml:space="preserve">Diseñar, implementar, administrar y mantener actualizadas las bases de datos con la información de los resultados alcanzados en las pruebas aplicadas y los factores asociados, de acuerdo con prácticas internacionalmente aceptadas. </w:t>
      </w:r>
    </w:p>
    <w:p w14:paraId="4FF8880D"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 xml:space="preserve">Organizar y administrar el banco de pruebas y preguntas, según niveles educativos y programas, el cual tendrá carácter reservado. </w:t>
      </w:r>
    </w:p>
    <w:p w14:paraId="639124BD"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lastRenderedPageBreak/>
        <w:t xml:space="preserve">Diseñar, implementar y controlar el procesamiento de información y la producción y divulgación de resultados de las evaluaciones realizadas, según las necesidades identificadas en cada nivel educativo. </w:t>
      </w:r>
    </w:p>
    <w:p w14:paraId="32FD36D1"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Prestar asistencia técnica al Ministerio de Educación Nacional y a las Secretarias de Educación, en temas relacionados con la evaluación de la educación que son de su competencia.</w:t>
      </w:r>
    </w:p>
    <w:p w14:paraId="47E42850"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Impulsar y fortalecer la cultura de la evaluación de la calidad de la educación mediante la difusión de los resultados y de los análisis acerca de los factores que inciden en los mismos, y el desarrollo de actividades de formación en los temas que son de su competencia, en los niveles local, regional y nacional.</w:t>
      </w:r>
    </w:p>
    <w:p w14:paraId="5DF81D59"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Desarrollar la fundamentación teórica, diseñar, elaborar y aplicar instrumentos de evaluación complementarios, que sean solicitados por entidades oficiales o privadas, nacionales o extranjeras.</w:t>
      </w:r>
    </w:p>
    <w:p w14:paraId="716CC1F1"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Propiciar la participación de Colombia en programas y proyectos internacionales en materia de evaluación y establecer relaciones de cooperación con organismos pares, localizados en otros países o regiones.</w:t>
      </w:r>
    </w:p>
    <w:p w14:paraId="1EFEC68D"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Definir y recaudar las tarifas correspondientes a los costos de los servicios prestados en lo concerniente a las funciones señaladas para el Icfes.</w:t>
      </w:r>
    </w:p>
    <w:p w14:paraId="26A501BB"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Mantener disponible para el público, a través de su página Web, lo siguiente:</w:t>
      </w:r>
    </w:p>
    <w:p w14:paraId="234039ED" w14:textId="77777777" w:rsidR="00C22D5B" w:rsidRPr="00C63D02" w:rsidRDefault="00C22D5B" w:rsidP="00CB78C3">
      <w:pPr>
        <w:pStyle w:val="Prrafodelista"/>
        <w:tabs>
          <w:tab w:val="left" w:pos="8222"/>
        </w:tabs>
        <w:suppressAutoHyphens/>
        <w:ind w:right="49"/>
        <w:rPr>
          <w:rFonts w:ascii="Times New Roman" w:hAnsi="Times New Roman"/>
          <w:sz w:val="24"/>
          <w:szCs w:val="24"/>
          <w:lang w:eastAsia="x-none"/>
        </w:rPr>
      </w:pPr>
      <w:r w:rsidRPr="00C63D02">
        <w:rPr>
          <w:rFonts w:ascii="Times New Roman" w:hAnsi="Times New Roman"/>
          <w:sz w:val="24"/>
          <w:szCs w:val="24"/>
          <w:lang w:eastAsia="x-none"/>
        </w:rPr>
        <w:t>Las medidas previstas en el artículo 9 de la Ley 1324 de 2009, a quienes incurran en las faltas a las que se refiere dicho artículo, previo cumplimiento de las garantías al debido proceso que establece el Código Contencioso Administrativo.</w:t>
      </w:r>
    </w:p>
    <w:p w14:paraId="4768BA7D"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Coordinar a los “pares académicos” que hayan de realizar evaluaciones independientes a establecimientos educativos o a instituciones de educación superior a los cuales hayan de practicarse evaluaciones, o a cuyos estudiantes hayan de practicarse evaluaciones tales como los exámenes de Estado.</w:t>
      </w:r>
    </w:p>
    <w:p w14:paraId="501C7E32"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Apoyar al Ministerio de Educación Nacional, por medio de contratos que le permitan cubrir todos sus costos, en la realización de los exámenes de Estado de que trata la Ley 1324 de 2009, y facilitar la monitoría sobre el cumplimiento de los contratos respectivos por parte de los auditores especializados externos que designe la entidad.</w:t>
      </w:r>
    </w:p>
    <w:p w14:paraId="678FA1EA"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Celebrar contratos con las autoridades educativas del orden nacional, local y territorial; con entidades de derecho público internacional; y con entidades privadas, nacionales o extranjeras, para promover políticas y programas tendientes a cualificar los procesos educativos.</w:t>
      </w:r>
    </w:p>
    <w:p w14:paraId="122A338A" w14:textId="77777777" w:rsidR="00C22D5B" w:rsidRPr="00C63D02"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Administrar en forma independiente la información resultante de los "exámenes de Estado", y reportar los resultados a los evaluados, así como al Ministerio de Educación Nacional, a las entidades territoriales, a las instituciones educativas y el público general.</w:t>
      </w:r>
    </w:p>
    <w:p w14:paraId="64ACA0BC" w14:textId="6CCA2443" w:rsidR="00C22D5B" w:rsidRDefault="00C22D5B" w:rsidP="00425DA9">
      <w:pPr>
        <w:pStyle w:val="Prrafodelista"/>
        <w:numPr>
          <w:ilvl w:val="0"/>
          <w:numId w:val="24"/>
        </w:numPr>
        <w:tabs>
          <w:tab w:val="left" w:pos="8222"/>
        </w:tabs>
        <w:suppressAutoHyphens/>
        <w:spacing w:after="0" w:line="240" w:lineRule="auto"/>
        <w:ind w:left="720" w:right="49"/>
        <w:jc w:val="both"/>
        <w:rPr>
          <w:rFonts w:ascii="Times New Roman" w:hAnsi="Times New Roman"/>
          <w:sz w:val="24"/>
          <w:szCs w:val="24"/>
          <w:lang w:eastAsia="x-none"/>
        </w:rPr>
      </w:pPr>
      <w:r w:rsidRPr="00C63D02">
        <w:rPr>
          <w:rFonts w:ascii="Times New Roman" w:hAnsi="Times New Roman"/>
          <w:sz w:val="24"/>
          <w:szCs w:val="24"/>
          <w:lang w:eastAsia="x-none"/>
        </w:rPr>
        <w:t>Las demás funciones que le fijen las leyes y los reglamentos, de acuerdo con su naturaleza.</w:t>
      </w:r>
    </w:p>
    <w:p w14:paraId="21DE0EA9" w14:textId="6603F6A0" w:rsidR="00313AC7" w:rsidRDefault="00313AC7"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41194D8A" w14:textId="02C072D0" w:rsidR="00CB78C3" w:rsidRDefault="00CB78C3"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2C015A93" w14:textId="7A64D176" w:rsidR="00CB78C3" w:rsidRDefault="00CB78C3"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1BBBEB13" w14:textId="77777777" w:rsidR="00E81199" w:rsidRDefault="00E81199"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1AC3E9AD" w14:textId="77777777" w:rsidR="00E81199" w:rsidRDefault="00E81199"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31427821" w14:textId="77777777" w:rsidR="00E81199" w:rsidRDefault="00E81199"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590F95E8" w14:textId="77777777" w:rsidR="00E81199" w:rsidRDefault="00E81199"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08C49F12" w14:textId="7A172B1C" w:rsidR="003D0B44" w:rsidRDefault="003D0B44" w:rsidP="00CB78C3">
      <w:pPr>
        <w:pStyle w:val="Prrafodelista"/>
        <w:tabs>
          <w:tab w:val="left" w:pos="8222"/>
        </w:tabs>
        <w:suppressAutoHyphens/>
        <w:spacing w:after="0" w:line="240" w:lineRule="auto"/>
        <w:ind w:right="49"/>
        <w:jc w:val="both"/>
        <w:rPr>
          <w:rFonts w:ascii="Times New Roman" w:hAnsi="Times New Roman"/>
          <w:sz w:val="24"/>
          <w:szCs w:val="24"/>
          <w:lang w:eastAsia="x-none"/>
        </w:rPr>
      </w:pPr>
    </w:p>
    <w:p w14:paraId="7BCFE11A" w14:textId="77777777" w:rsidR="0081164E" w:rsidRPr="00F168CD" w:rsidRDefault="0081164E" w:rsidP="0081164E">
      <w:pPr>
        <w:pStyle w:val="Prrafodelista"/>
        <w:spacing w:after="0" w:line="240" w:lineRule="auto"/>
        <w:ind w:left="567"/>
        <w:jc w:val="both"/>
        <w:rPr>
          <w:rFonts w:ascii="Times New Roman" w:hAnsi="Times New Roman"/>
          <w:b/>
          <w:bCs/>
          <w:sz w:val="24"/>
          <w:szCs w:val="24"/>
        </w:rPr>
      </w:pPr>
      <w:r w:rsidRPr="00F168CD">
        <w:rPr>
          <w:rFonts w:ascii="Times New Roman" w:hAnsi="Times New Roman"/>
          <w:b/>
          <w:bCs/>
          <w:sz w:val="24"/>
          <w:szCs w:val="24"/>
        </w:rPr>
        <w:t>Estructura</w:t>
      </w:r>
    </w:p>
    <w:p w14:paraId="21C6ABD4" w14:textId="092055C6"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r w:rsidRPr="00C63D02">
        <w:rPr>
          <w:rFonts w:ascii="Times New Roman" w:hAnsi="Times New Roman"/>
          <w:noProof/>
          <w:sz w:val="24"/>
          <w:szCs w:val="24"/>
          <w:lang w:eastAsia="es-CO"/>
        </w:rPr>
        <w:drawing>
          <wp:anchor distT="0" distB="0" distL="114300" distR="114300" simplePos="0" relativeHeight="251663360" behindDoc="1" locked="0" layoutInCell="1" allowOverlap="1" wp14:anchorId="77D0954F" wp14:editId="61202681">
            <wp:simplePos x="0" y="0"/>
            <wp:positionH relativeFrom="column">
              <wp:posOffset>-133350</wp:posOffset>
            </wp:positionH>
            <wp:positionV relativeFrom="paragraph">
              <wp:posOffset>92075</wp:posOffset>
            </wp:positionV>
            <wp:extent cx="6479540" cy="58483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9540" cy="5848350"/>
                    </a:xfrm>
                    <a:prstGeom prst="rect">
                      <a:avLst/>
                    </a:prstGeom>
                  </pic:spPr>
                </pic:pic>
              </a:graphicData>
            </a:graphic>
            <wp14:sizeRelV relativeFrom="margin">
              <wp14:pctHeight>0</wp14:pctHeight>
            </wp14:sizeRelV>
          </wp:anchor>
        </w:drawing>
      </w:r>
    </w:p>
    <w:p w14:paraId="003F9032" w14:textId="49A10380"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5D57CBA8" w14:textId="1270EFBA"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D36E79B" w14:textId="2E5FFCD4"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33730A7D" w14:textId="54277780"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6B77310E" w14:textId="56A1D248"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190CF916" w14:textId="21BC8E2C"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59A6E4E8" w14:textId="72A87796"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400B77E" w14:textId="6A8C3C4E"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0F26CE1" w14:textId="0F47C6D6"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FA3C413" w14:textId="58A5FFEB"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7357AD3D" w14:textId="059DF952"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18727185" w14:textId="7979ADAA"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C08555B" w14:textId="76BF74F9"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9F76A65" w14:textId="13B97AF0"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DADFF49" w14:textId="272772E8"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F6FEA86" w14:textId="7384F204"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E456D67" w14:textId="5882DC43"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F48D9FF" w14:textId="18DFD572"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5E0C26AB" w14:textId="13344710"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5796FB97" w14:textId="563EB455"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3E9910F9" w14:textId="112CF01C"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040418E0" w14:textId="2C3AED6B"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6BB2E382" w14:textId="48CED090"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123F22A" w14:textId="1B0E0489"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03D0B5FE" w14:textId="78E289EB"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5D1E280" w14:textId="7FEB1227"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78245135" w14:textId="244C65F3"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1EFF352" w14:textId="0D5654AD"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3FB3A0D" w14:textId="17EEF053"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4864D56" w14:textId="6F51A405"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2A0E5478" w14:textId="02CB54CB"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4D809104" w14:textId="584812CE"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60065D33" w14:textId="6F324ABC"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68A0F684" w14:textId="021E04D1" w:rsidR="0081164E" w:rsidRDefault="0081164E" w:rsidP="00313AC7">
      <w:pPr>
        <w:pStyle w:val="Prrafodelista"/>
        <w:suppressAutoHyphens/>
        <w:spacing w:after="0" w:line="240" w:lineRule="auto"/>
        <w:ind w:right="567"/>
        <w:jc w:val="both"/>
        <w:rPr>
          <w:rFonts w:ascii="Times New Roman" w:hAnsi="Times New Roman"/>
          <w:sz w:val="24"/>
          <w:szCs w:val="24"/>
          <w:lang w:eastAsia="x-none"/>
        </w:rPr>
      </w:pPr>
    </w:p>
    <w:p w14:paraId="7E1AE1D7" w14:textId="45FEBBBC" w:rsidR="000A24FA" w:rsidRPr="00DB2119" w:rsidRDefault="00F717BA" w:rsidP="00425DA9">
      <w:pPr>
        <w:pStyle w:val="Ttulo2"/>
        <w:numPr>
          <w:ilvl w:val="1"/>
          <w:numId w:val="5"/>
        </w:numPr>
        <w:ind w:left="567" w:hanging="567"/>
      </w:pPr>
      <w:bookmarkStart w:id="4" w:name="_Toc99455291"/>
      <w:r w:rsidRPr="00DB2119">
        <w:t>Declaración de cumplimiento del marco normativo y limitaciones</w:t>
      </w:r>
      <w:bookmarkEnd w:id="4"/>
    </w:p>
    <w:p w14:paraId="69B1D92B" w14:textId="77777777" w:rsidR="000A24FA" w:rsidRDefault="000A24FA" w:rsidP="00225314">
      <w:pPr>
        <w:pStyle w:val="Prrafodelista"/>
        <w:spacing w:after="0" w:line="240" w:lineRule="auto"/>
        <w:ind w:left="567"/>
        <w:jc w:val="both"/>
        <w:rPr>
          <w:rFonts w:ascii="Times New Roman" w:hAnsi="Times New Roman"/>
          <w:sz w:val="24"/>
          <w:szCs w:val="24"/>
        </w:rPr>
      </w:pPr>
    </w:p>
    <w:p w14:paraId="3B88CDD3" w14:textId="270CCE5B" w:rsidR="00CB501A" w:rsidRDefault="00D7683D" w:rsidP="00D7683D">
      <w:pPr>
        <w:pStyle w:val="Prrafodelista"/>
        <w:spacing w:after="0" w:line="240" w:lineRule="auto"/>
        <w:ind w:left="567"/>
        <w:jc w:val="both"/>
        <w:rPr>
          <w:rFonts w:ascii="Times New Roman" w:hAnsi="Times New Roman"/>
          <w:sz w:val="24"/>
          <w:szCs w:val="24"/>
        </w:rPr>
      </w:pPr>
      <w:r w:rsidRPr="00D7683D">
        <w:rPr>
          <w:rFonts w:ascii="Times New Roman" w:hAnsi="Times New Roman"/>
          <w:sz w:val="24"/>
          <w:szCs w:val="24"/>
        </w:rPr>
        <w:t xml:space="preserve">Los estados financieros han sido preparados de acuerdo con el Marco Normativo para Empresas que no Cotizan en el Mercado de Valores, y que no Captan ni Administran Ahorro del Público. Dicho marco hace parte integrante del Régimen de Contabilidad Pública expedido por la Contaduría General de la Nación, que es el organismo de regulación contable para las entidades públicas colombianas. Los estados financieros presentados comprenden los estados de situación financiera al </w:t>
      </w:r>
      <w:r w:rsidR="00432519">
        <w:rPr>
          <w:rFonts w:ascii="Times New Roman" w:hAnsi="Times New Roman"/>
          <w:sz w:val="24"/>
          <w:szCs w:val="24"/>
        </w:rPr>
        <w:t>31 de marzo de 2022 y 31 de marzo de 2021</w:t>
      </w:r>
      <w:r w:rsidRPr="00D7683D">
        <w:rPr>
          <w:rFonts w:ascii="Times New Roman" w:hAnsi="Times New Roman"/>
          <w:sz w:val="24"/>
          <w:szCs w:val="24"/>
        </w:rPr>
        <w:t xml:space="preserve"> y los estados de resultados integrales, para los periodos contables terminados el </w:t>
      </w:r>
      <w:r w:rsidR="00432519">
        <w:rPr>
          <w:rFonts w:ascii="Times New Roman" w:hAnsi="Times New Roman"/>
          <w:sz w:val="24"/>
          <w:szCs w:val="24"/>
        </w:rPr>
        <w:t>31 de marzo de 2022 y 31 de marzo de 2021</w:t>
      </w:r>
      <w:r w:rsidRPr="00D7683D">
        <w:rPr>
          <w:rFonts w:ascii="Times New Roman" w:hAnsi="Times New Roman"/>
          <w:sz w:val="24"/>
          <w:szCs w:val="24"/>
        </w:rPr>
        <w:t>.</w:t>
      </w:r>
    </w:p>
    <w:p w14:paraId="71A12233" w14:textId="3F7B988F" w:rsidR="000A24FA" w:rsidRPr="00DB2119" w:rsidRDefault="00CB501A" w:rsidP="00425DA9">
      <w:pPr>
        <w:pStyle w:val="Ttulo2"/>
        <w:numPr>
          <w:ilvl w:val="1"/>
          <w:numId w:val="5"/>
        </w:numPr>
        <w:ind w:left="567" w:hanging="567"/>
        <w:rPr>
          <w:szCs w:val="22"/>
        </w:rPr>
      </w:pPr>
      <w:bookmarkStart w:id="5" w:name="_Toc99455292"/>
      <w:r w:rsidRPr="00DB2119">
        <w:rPr>
          <w:szCs w:val="22"/>
        </w:rPr>
        <w:lastRenderedPageBreak/>
        <w:t>Base normativa y periodo cubierto</w:t>
      </w:r>
      <w:bookmarkEnd w:id="5"/>
    </w:p>
    <w:p w14:paraId="0ABE3ECB" w14:textId="77777777" w:rsidR="000A24FA" w:rsidRDefault="000A24FA" w:rsidP="00667BC9">
      <w:pPr>
        <w:pStyle w:val="Prrafodelista"/>
        <w:spacing w:after="0" w:line="240" w:lineRule="auto"/>
        <w:ind w:left="567"/>
        <w:jc w:val="both"/>
        <w:rPr>
          <w:rFonts w:ascii="Times New Roman" w:hAnsi="Times New Roman"/>
          <w:b/>
          <w:sz w:val="24"/>
          <w:szCs w:val="24"/>
        </w:rPr>
      </w:pPr>
    </w:p>
    <w:p w14:paraId="2CEFF996" w14:textId="53B6F89D" w:rsidR="00841BEE" w:rsidRDefault="00E703B4" w:rsidP="00E703B4">
      <w:pPr>
        <w:pStyle w:val="Prrafodelista"/>
        <w:spacing w:after="0" w:line="240" w:lineRule="auto"/>
        <w:ind w:left="567"/>
        <w:jc w:val="both"/>
        <w:rPr>
          <w:rFonts w:ascii="Times New Roman" w:hAnsi="Times New Roman"/>
          <w:sz w:val="24"/>
          <w:szCs w:val="24"/>
        </w:rPr>
      </w:pPr>
      <w:r w:rsidRPr="00E703B4">
        <w:rPr>
          <w:rFonts w:ascii="Times New Roman" w:hAnsi="Times New Roman"/>
          <w:sz w:val="24"/>
          <w:szCs w:val="24"/>
        </w:rPr>
        <w:t xml:space="preserve">Corresponde a los estados de situación financiera con corte al </w:t>
      </w:r>
      <w:r w:rsidR="00432519">
        <w:rPr>
          <w:rFonts w:ascii="Times New Roman" w:hAnsi="Times New Roman"/>
          <w:sz w:val="24"/>
          <w:szCs w:val="24"/>
        </w:rPr>
        <w:t>31 de marzo de 2022 y 31 de marzo de 2021</w:t>
      </w:r>
      <w:r w:rsidRPr="00E703B4">
        <w:rPr>
          <w:rFonts w:ascii="Times New Roman" w:hAnsi="Times New Roman"/>
          <w:sz w:val="24"/>
          <w:szCs w:val="24"/>
        </w:rPr>
        <w:t xml:space="preserve">, y los estados de resultado integral, para los periodos contables terminados el </w:t>
      </w:r>
      <w:r w:rsidR="00432519">
        <w:rPr>
          <w:rFonts w:ascii="Times New Roman" w:hAnsi="Times New Roman"/>
          <w:sz w:val="24"/>
          <w:szCs w:val="24"/>
        </w:rPr>
        <w:t>31 de marzo de 2022 y 31 de marzo de 2021</w:t>
      </w:r>
      <w:r w:rsidRPr="00E703B4">
        <w:rPr>
          <w:rFonts w:ascii="Times New Roman" w:hAnsi="Times New Roman"/>
          <w:sz w:val="24"/>
          <w:szCs w:val="24"/>
        </w:rPr>
        <w:t>.</w:t>
      </w:r>
    </w:p>
    <w:p w14:paraId="328E84F2" w14:textId="77777777" w:rsidR="00E703B4" w:rsidRDefault="00E703B4" w:rsidP="00667BC9">
      <w:pPr>
        <w:pStyle w:val="Prrafodelista"/>
        <w:spacing w:after="0" w:line="240" w:lineRule="auto"/>
        <w:ind w:left="567" w:firstLine="141"/>
        <w:rPr>
          <w:rFonts w:ascii="Times New Roman" w:hAnsi="Times New Roman"/>
          <w:b/>
          <w:szCs w:val="24"/>
        </w:rPr>
      </w:pPr>
    </w:p>
    <w:p w14:paraId="59460B72" w14:textId="4C1D2E46" w:rsidR="000A24FA" w:rsidRPr="00DB2119" w:rsidRDefault="00BB56C4" w:rsidP="00425DA9">
      <w:pPr>
        <w:pStyle w:val="Ttulo2"/>
        <w:numPr>
          <w:ilvl w:val="1"/>
          <w:numId w:val="5"/>
        </w:numPr>
        <w:ind w:left="567" w:hanging="567"/>
        <w:rPr>
          <w:szCs w:val="22"/>
        </w:rPr>
      </w:pPr>
      <w:bookmarkStart w:id="6" w:name="_Toc99455293"/>
      <w:r w:rsidRPr="00DB2119">
        <w:rPr>
          <w:szCs w:val="22"/>
        </w:rPr>
        <w:t xml:space="preserve">Forma de Organización y/o </w:t>
      </w:r>
      <w:r w:rsidR="00EA5984" w:rsidRPr="00DB2119">
        <w:rPr>
          <w:szCs w:val="22"/>
        </w:rPr>
        <w:t>Cobertura</w:t>
      </w:r>
      <w:bookmarkEnd w:id="6"/>
    </w:p>
    <w:p w14:paraId="570EA0C8" w14:textId="25D737A9" w:rsidR="000A24FA" w:rsidRDefault="000A24FA" w:rsidP="00667BC9">
      <w:pPr>
        <w:pStyle w:val="Prrafodelista"/>
        <w:spacing w:after="0" w:line="240" w:lineRule="auto"/>
        <w:ind w:left="567"/>
        <w:jc w:val="both"/>
        <w:rPr>
          <w:rFonts w:ascii="Times New Roman" w:hAnsi="Times New Roman"/>
          <w:b/>
          <w:sz w:val="24"/>
          <w:szCs w:val="24"/>
        </w:rPr>
      </w:pPr>
    </w:p>
    <w:p w14:paraId="2108F80D" w14:textId="42F037E1" w:rsidR="00D670C2" w:rsidRPr="00C35204" w:rsidRDefault="00C35204" w:rsidP="00667BC9">
      <w:pPr>
        <w:pStyle w:val="Prrafodelista"/>
        <w:spacing w:after="0" w:line="240" w:lineRule="auto"/>
        <w:ind w:left="567"/>
        <w:jc w:val="both"/>
        <w:rPr>
          <w:rFonts w:ascii="Times New Roman" w:hAnsi="Times New Roman"/>
          <w:sz w:val="24"/>
          <w:szCs w:val="24"/>
        </w:rPr>
      </w:pPr>
      <w:r w:rsidRPr="00C35204">
        <w:rPr>
          <w:rFonts w:ascii="Times New Roman" w:hAnsi="Times New Roman"/>
          <w:sz w:val="24"/>
          <w:szCs w:val="24"/>
        </w:rPr>
        <w:t>El Instituto Colombiano para la Evaluación de la Educación, es una Empresa estatal de carácter social del sector Educación Nacional, entidad pública descentralizada del orden nacional, de naturaleza especial, con personería jurídica, autonomía administrativa y de patrimonio propio, vinculada al Ministerio de Educación Nacional (MEN).</w:t>
      </w:r>
    </w:p>
    <w:p w14:paraId="36F6309E" w14:textId="1A6E9C6C" w:rsidR="00D670C2" w:rsidRDefault="00D670C2" w:rsidP="00667BC9">
      <w:pPr>
        <w:pStyle w:val="Prrafodelista"/>
        <w:spacing w:after="0" w:line="240" w:lineRule="auto"/>
        <w:ind w:left="567"/>
        <w:jc w:val="both"/>
        <w:rPr>
          <w:rFonts w:ascii="Times New Roman" w:hAnsi="Times New Roman"/>
          <w:sz w:val="24"/>
          <w:szCs w:val="24"/>
        </w:rPr>
      </w:pPr>
    </w:p>
    <w:p w14:paraId="3FF05135" w14:textId="7543E7E2" w:rsidR="00CB6A52" w:rsidRPr="00E2373F" w:rsidRDefault="00CB6A52" w:rsidP="00073315">
      <w:pPr>
        <w:pStyle w:val="Ttulo1"/>
      </w:pPr>
      <w:bookmarkStart w:id="7" w:name="_Toc99455294"/>
      <w:r w:rsidRPr="00E2373F">
        <w:t xml:space="preserve">NOTA 2. BASES DE MEDICIÓN </w:t>
      </w:r>
      <w:r w:rsidR="00FC6E57" w:rsidRPr="00E2373F">
        <w:t xml:space="preserve">Y PRESENTACIÓN </w:t>
      </w:r>
      <w:r w:rsidRPr="00E2373F">
        <w:t>UTILIZADAS</w:t>
      </w:r>
      <w:bookmarkEnd w:id="7"/>
    </w:p>
    <w:p w14:paraId="01682990" w14:textId="77777777" w:rsidR="00BB7BD6" w:rsidRPr="00E2373F" w:rsidRDefault="00BB7BD6" w:rsidP="00846149">
      <w:pPr>
        <w:spacing w:after="0" w:line="240" w:lineRule="auto"/>
        <w:jc w:val="both"/>
        <w:rPr>
          <w:rFonts w:ascii="Times New Roman" w:hAnsi="Times New Roman"/>
          <w:sz w:val="24"/>
          <w:szCs w:val="24"/>
        </w:rPr>
      </w:pPr>
    </w:p>
    <w:p w14:paraId="229E10EF" w14:textId="06A00648" w:rsidR="00BB7BD6" w:rsidRDefault="006669EB" w:rsidP="00667BC9">
      <w:pPr>
        <w:spacing w:after="0" w:line="240" w:lineRule="auto"/>
        <w:jc w:val="both"/>
        <w:rPr>
          <w:rFonts w:ascii="Times New Roman" w:hAnsi="Times New Roman"/>
          <w:sz w:val="24"/>
          <w:szCs w:val="24"/>
        </w:rPr>
      </w:pPr>
      <w:r w:rsidRPr="006669EB">
        <w:rPr>
          <w:rFonts w:ascii="Times New Roman" w:hAnsi="Times New Roman"/>
          <w:sz w:val="24"/>
          <w:szCs w:val="24"/>
        </w:rPr>
        <w:t>La medición o valorización de activos y pasivos es el proceso de determinación de los importes monetarios por los que se reconocen y llevan contablemente los elementos de los estados financieros, para su inclusión en el Estado de Situación Financiera y el Estado de Resultados Integral. Para realizarla, es necesaria la selección de una base o método particular de medición. En los estados financieros se emplean diferentes bases de medición, con diferentes grados y en distintas combinaciones entre ellas.</w:t>
      </w:r>
    </w:p>
    <w:p w14:paraId="441D9FB8" w14:textId="77777777" w:rsidR="006669EB" w:rsidRPr="00E2373F" w:rsidRDefault="006669EB" w:rsidP="00667BC9">
      <w:pPr>
        <w:spacing w:after="0" w:line="240" w:lineRule="auto"/>
        <w:jc w:val="both"/>
        <w:rPr>
          <w:rFonts w:ascii="Times New Roman" w:hAnsi="Times New Roman"/>
          <w:sz w:val="24"/>
          <w:szCs w:val="24"/>
        </w:rPr>
      </w:pPr>
    </w:p>
    <w:p w14:paraId="6F8E77E8" w14:textId="3D6902D6" w:rsidR="00637533" w:rsidRPr="00AC4D9D" w:rsidRDefault="00FC6E57" w:rsidP="00425DA9">
      <w:pPr>
        <w:pStyle w:val="Ttulo2"/>
        <w:numPr>
          <w:ilvl w:val="1"/>
          <w:numId w:val="6"/>
        </w:numPr>
        <w:ind w:left="567" w:hanging="567"/>
        <w:rPr>
          <w:szCs w:val="22"/>
        </w:rPr>
      </w:pPr>
      <w:bookmarkStart w:id="8" w:name="_Toc99455295"/>
      <w:r w:rsidRPr="00AC4D9D">
        <w:rPr>
          <w:szCs w:val="22"/>
        </w:rPr>
        <w:t>Bases de medición</w:t>
      </w:r>
      <w:bookmarkEnd w:id="8"/>
    </w:p>
    <w:p w14:paraId="223A2C43" w14:textId="77777777" w:rsidR="005B1357" w:rsidRDefault="005B1357" w:rsidP="007C3AF3">
      <w:pPr>
        <w:spacing w:after="0" w:line="240" w:lineRule="auto"/>
        <w:ind w:left="567"/>
        <w:jc w:val="both"/>
        <w:rPr>
          <w:rFonts w:ascii="Times New Roman" w:hAnsi="Times New Roman"/>
          <w:b/>
          <w:bCs/>
          <w:sz w:val="24"/>
          <w:szCs w:val="24"/>
        </w:rPr>
      </w:pPr>
    </w:p>
    <w:p w14:paraId="298C59DF" w14:textId="508F3D94" w:rsidR="00225314" w:rsidRDefault="002E0015" w:rsidP="007C3AF3">
      <w:pPr>
        <w:spacing w:after="0" w:line="240" w:lineRule="auto"/>
        <w:ind w:left="567"/>
        <w:jc w:val="both"/>
        <w:rPr>
          <w:rFonts w:ascii="Times New Roman" w:hAnsi="Times New Roman"/>
          <w:b/>
          <w:bCs/>
          <w:sz w:val="24"/>
          <w:szCs w:val="24"/>
        </w:rPr>
      </w:pPr>
      <w:r w:rsidRPr="007C3AF3">
        <w:rPr>
          <w:rFonts w:ascii="Times New Roman" w:hAnsi="Times New Roman"/>
          <w:b/>
          <w:bCs/>
          <w:sz w:val="24"/>
          <w:szCs w:val="24"/>
        </w:rPr>
        <w:t>Valor razonable y costo de reposición de activos</w:t>
      </w:r>
    </w:p>
    <w:p w14:paraId="23E8EB83" w14:textId="5D0C3ACF" w:rsidR="00EF2926" w:rsidRDefault="002E0015" w:rsidP="007C3AF3">
      <w:pPr>
        <w:spacing w:after="0" w:line="240" w:lineRule="auto"/>
        <w:ind w:left="567"/>
        <w:jc w:val="both"/>
        <w:rPr>
          <w:rFonts w:ascii="Times New Roman" w:hAnsi="Times New Roman"/>
          <w:sz w:val="24"/>
          <w:szCs w:val="24"/>
        </w:rPr>
      </w:pPr>
      <w:r w:rsidRPr="002E0015">
        <w:rPr>
          <w:rFonts w:ascii="Times New Roman" w:hAnsi="Times New Roman"/>
          <w:sz w:val="24"/>
          <w:szCs w:val="24"/>
        </w:rPr>
        <w:t>En ciertos casos, el Marco Normativo para Entidades que no Cotizan en el Mercado de Valores y que no Captan ni Administran Ahorro del Público requiere que algunos activos sean valorados con referencia a su valor razonable o su costo de reposición dependiendo de la Norma que le sea aplicable al activo en cuestión, por ejemplo, las</w:t>
      </w:r>
      <w:r w:rsidR="007C3AF3">
        <w:rPr>
          <w:rFonts w:ascii="Times New Roman" w:hAnsi="Times New Roman"/>
          <w:sz w:val="24"/>
          <w:szCs w:val="24"/>
        </w:rPr>
        <w:t xml:space="preserve"> </w:t>
      </w:r>
      <w:r w:rsidRPr="002E0015">
        <w:rPr>
          <w:rFonts w:ascii="Times New Roman" w:hAnsi="Times New Roman"/>
          <w:sz w:val="24"/>
          <w:szCs w:val="24"/>
        </w:rPr>
        <w:t>inversiones de administración de liquidez y los inventarios. El Valor razonable es el precio que podría ser recibido al vender un activo o el precio que podría ser pagado al liquidar un pasivo en una transacción ordenada entre participantes del mercado en la fecha de medición. Las bases para la medición de activos a su valor razonable son los precios vigentes en mercados activos. Por su parte, el costo de reposición de los activos se mide por el efectivo y otras partidas equivalentes al efectivo que deberían pagarse para adquirir o producir un activo similar al que se tiene o, por el costo actual estimado de reemplazo del activo por otro equivalente.</w:t>
      </w:r>
    </w:p>
    <w:p w14:paraId="39B899AB" w14:textId="77777777" w:rsidR="00FA4178" w:rsidRDefault="00FA4178" w:rsidP="007C3AF3">
      <w:pPr>
        <w:spacing w:after="0" w:line="240" w:lineRule="auto"/>
        <w:ind w:left="567"/>
        <w:jc w:val="both"/>
        <w:rPr>
          <w:rFonts w:ascii="Times New Roman" w:hAnsi="Times New Roman"/>
          <w:sz w:val="24"/>
          <w:szCs w:val="24"/>
        </w:rPr>
      </w:pPr>
    </w:p>
    <w:p w14:paraId="46B4884F" w14:textId="375F8178" w:rsidR="00637533" w:rsidRPr="00AC4D9D" w:rsidRDefault="00FC6E57" w:rsidP="00425DA9">
      <w:pPr>
        <w:pStyle w:val="Ttulo2"/>
        <w:numPr>
          <w:ilvl w:val="1"/>
          <w:numId w:val="6"/>
        </w:numPr>
        <w:ind w:left="567" w:hanging="567"/>
        <w:rPr>
          <w:szCs w:val="22"/>
        </w:rPr>
      </w:pPr>
      <w:bookmarkStart w:id="9" w:name="_Toc99455296"/>
      <w:r w:rsidRPr="00AC4D9D">
        <w:rPr>
          <w:szCs w:val="22"/>
        </w:rPr>
        <w:t>Moneda funcional y de presentación</w:t>
      </w:r>
      <w:r w:rsidR="004E188B" w:rsidRPr="00AC4D9D">
        <w:rPr>
          <w:szCs w:val="22"/>
        </w:rPr>
        <w:t>, redondeo y materialidad</w:t>
      </w:r>
      <w:bookmarkEnd w:id="9"/>
    </w:p>
    <w:p w14:paraId="62E16679" w14:textId="77777777" w:rsidR="00637533" w:rsidRDefault="00637533" w:rsidP="00667BC9">
      <w:pPr>
        <w:pStyle w:val="Prrafodelista"/>
        <w:spacing w:after="0" w:line="240" w:lineRule="auto"/>
        <w:ind w:left="567"/>
        <w:jc w:val="both"/>
        <w:rPr>
          <w:rFonts w:ascii="Times New Roman" w:hAnsi="Times New Roman"/>
          <w:b/>
          <w:sz w:val="24"/>
          <w:szCs w:val="24"/>
        </w:rPr>
      </w:pPr>
    </w:p>
    <w:p w14:paraId="099E89C1" w14:textId="14CCD981" w:rsidR="00CD7F1E" w:rsidRPr="002538C0" w:rsidRDefault="002538C0" w:rsidP="00E2105E">
      <w:pPr>
        <w:pStyle w:val="Prrafodelista"/>
        <w:spacing w:after="0" w:line="240" w:lineRule="auto"/>
        <w:ind w:left="567"/>
        <w:jc w:val="both"/>
        <w:rPr>
          <w:rFonts w:ascii="Times New Roman" w:hAnsi="Times New Roman"/>
          <w:b/>
          <w:bCs/>
          <w:sz w:val="24"/>
          <w:szCs w:val="24"/>
        </w:rPr>
      </w:pPr>
      <w:r w:rsidRPr="002538C0">
        <w:rPr>
          <w:rFonts w:ascii="Times New Roman" w:hAnsi="Times New Roman"/>
          <w:b/>
          <w:bCs/>
          <w:sz w:val="24"/>
          <w:szCs w:val="24"/>
        </w:rPr>
        <w:t>Moneda funcional y de presentación</w:t>
      </w:r>
    </w:p>
    <w:p w14:paraId="3189A0DA" w14:textId="75301900" w:rsidR="0073200F" w:rsidRDefault="00E2105E" w:rsidP="00E2105E">
      <w:pPr>
        <w:pStyle w:val="Prrafodelista"/>
        <w:spacing w:after="0" w:line="240" w:lineRule="auto"/>
        <w:ind w:left="567"/>
        <w:jc w:val="both"/>
        <w:rPr>
          <w:rFonts w:ascii="Times New Roman" w:hAnsi="Times New Roman"/>
          <w:b/>
          <w:sz w:val="24"/>
          <w:szCs w:val="24"/>
        </w:rPr>
      </w:pPr>
      <w:r w:rsidRPr="00E2105E">
        <w:rPr>
          <w:rFonts w:ascii="Times New Roman" w:hAnsi="Times New Roman"/>
          <w:sz w:val="24"/>
          <w:szCs w:val="24"/>
        </w:rPr>
        <w:t xml:space="preserve">El peso colombiano es la moneda que representa con </w:t>
      </w:r>
      <w:r w:rsidR="00E662D7">
        <w:rPr>
          <w:rFonts w:ascii="Times New Roman" w:hAnsi="Times New Roman"/>
          <w:sz w:val="24"/>
          <w:szCs w:val="24"/>
        </w:rPr>
        <w:t>mayor</w:t>
      </w:r>
      <w:r w:rsidRPr="00E2105E">
        <w:rPr>
          <w:rFonts w:ascii="Times New Roman" w:hAnsi="Times New Roman"/>
          <w:sz w:val="24"/>
          <w:szCs w:val="24"/>
        </w:rPr>
        <w:t xml:space="preserve"> fidelidad los efectos económicos de las transacciones, eventos y condiciones subyacentes del Icfes y por esta razón los estados financieros son presentados en pesos colombianos.</w:t>
      </w:r>
    </w:p>
    <w:p w14:paraId="0D520ED5" w14:textId="77777777" w:rsidR="00E2105E" w:rsidRDefault="00E2105E" w:rsidP="00667BC9">
      <w:pPr>
        <w:pStyle w:val="Prrafodelista"/>
        <w:spacing w:after="0" w:line="240" w:lineRule="auto"/>
        <w:ind w:left="927"/>
        <w:jc w:val="both"/>
        <w:rPr>
          <w:rFonts w:ascii="Times New Roman" w:hAnsi="Times New Roman"/>
          <w:b/>
          <w:sz w:val="24"/>
          <w:szCs w:val="24"/>
        </w:rPr>
      </w:pPr>
    </w:p>
    <w:p w14:paraId="68C0ED66" w14:textId="77777777" w:rsidR="00035F9D" w:rsidRDefault="00035F9D" w:rsidP="00CD7F1E">
      <w:pPr>
        <w:spacing w:after="0" w:line="240" w:lineRule="auto"/>
        <w:ind w:left="567"/>
        <w:jc w:val="both"/>
        <w:rPr>
          <w:rFonts w:ascii="Times New Roman" w:hAnsi="Times New Roman"/>
          <w:b/>
          <w:bCs/>
          <w:sz w:val="24"/>
          <w:szCs w:val="24"/>
        </w:rPr>
      </w:pPr>
    </w:p>
    <w:p w14:paraId="1A80FCD0" w14:textId="191F81BD" w:rsidR="00CA0C7F" w:rsidRPr="00CD7F1E" w:rsidRDefault="00CD7F1E" w:rsidP="00CD7F1E">
      <w:pPr>
        <w:spacing w:after="0" w:line="240" w:lineRule="auto"/>
        <w:ind w:left="567"/>
        <w:jc w:val="both"/>
        <w:rPr>
          <w:rFonts w:ascii="Times New Roman" w:hAnsi="Times New Roman"/>
          <w:b/>
          <w:bCs/>
          <w:sz w:val="24"/>
          <w:szCs w:val="24"/>
        </w:rPr>
      </w:pPr>
      <w:r w:rsidRPr="00CD7F1E">
        <w:rPr>
          <w:rFonts w:ascii="Times New Roman" w:hAnsi="Times New Roman"/>
          <w:b/>
          <w:bCs/>
          <w:sz w:val="24"/>
          <w:szCs w:val="24"/>
        </w:rPr>
        <w:lastRenderedPageBreak/>
        <w:t>Criterio de materialidad</w:t>
      </w:r>
    </w:p>
    <w:p w14:paraId="39A17DB4" w14:textId="0360253B" w:rsidR="00CA0C7F" w:rsidRPr="00CA0C7F" w:rsidRDefault="00CA0C7F" w:rsidP="00CD7F1E">
      <w:pPr>
        <w:spacing w:after="0" w:line="240" w:lineRule="auto"/>
        <w:ind w:left="567"/>
        <w:jc w:val="both"/>
        <w:rPr>
          <w:rFonts w:ascii="Times New Roman" w:hAnsi="Times New Roman"/>
          <w:sz w:val="24"/>
          <w:szCs w:val="24"/>
        </w:rPr>
      </w:pPr>
      <w:r w:rsidRPr="00CA0C7F">
        <w:rPr>
          <w:rFonts w:ascii="Times New Roman" w:hAnsi="Times New Roman"/>
          <w:sz w:val="24"/>
          <w:szCs w:val="24"/>
        </w:rPr>
        <w:t>En la elaboración de los estados financieros, atendiendo el criterio de materialidad, se ha omitido aquella información o desgloses que no requieren de detalle, puesto que no afectan significativamente la presentación de la situación financiera, el rendimiento financiero y los flujos de efectivo de la entidad originados durante los periodos contables presentados.</w:t>
      </w:r>
    </w:p>
    <w:p w14:paraId="642E3CDE" w14:textId="15064B48" w:rsidR="006F7A52" w:rsidRPr="004911A0" w:rsidRDefault="006F7A52" w:rsidP="004911A0">
      <w:pPr>
        <w:spacing w:after="0" w:line="240" w:lineRule="auto"/>
        <w:jc w:val="both"/>
        <w:rPr>
          <w:rFonts w:ascii="Times New Roman" w:hAnsi="Times New Roman"/>
          <w:sz w:val="24"/>
          <w:szCs w:val="24"/>
        </w:rPr>
      </w:pPr>
    </w:p>
    <w:p w14:paraId="7387EAD3" w14:textId="77777777" w:rsidR="00637533" w:rsidRPr="00AC4D9D" w:rsidRDefault="00FC6E57" w:rsidP="00425DA9">
      <w:pPr>
        <w:pStyle w:val="Ttulo2"/>
        <w:numPr>
          <w:ilvl w:val="1"/>
          <w:numId w:val="6"/>
        </w:numPr>
        <w:ind w:left="567" w:hanging="567"/>
        <w:rPr>
          <w:szCs w:val="22"/>
        </w:rPr>
      </w:pPr>
      <w:bookmarkStart w:id="10" w:name="_Toc99455297"/>
      <w:r w:rsidRPr="00AC4D9D">
        <w:rPr>
          <w:szCs w:val="22"/>
        </w:rPr>
        <w:t>Tratamiento de la moneda extranjera</w:t>
      </w:r>
      <w:bookmarkEnd w:id="10"/>
    </w:p>
    <w:p w14:paraId="3C69CDA7" w14:textId="77777777" w:rsidR="00637533" w:rsidRPr="00637533" w:rsidRDefault="00637533" w:rsidP="00667BC9">
      <w:pPr>
        <w:pStyle w:val="Prrafodelista"/>
        <w:spacing w:after="0" w:line="240" w:lineRule="auto"/>
        <w:ind w:left="567"/>
        <w:jc w:val="both"/>
        <w:rPr>
          <w:rFonts w:ascii="Times New Roman" w:hAnsi="Times New Roman"/>
          <w:sz w:val="24"/>
          <w:szCs w:val="24"/>
        </w:rPr>
      </w:pPr>
    </w:p>
    <w:p w14:paraId="6590E52E" w14:textId="322ACEAA" w:rsidR="00BB7BD6" w:rsidRDefault="00D85CFA" w:rsidP="00D85CFA">
      <w:pPr>
        <w:pStyle w:val="Prrafodelista"/>
        <w:spacing w:after="0" w:line="240" w:lineRule="auto"/>
        <w:ind w:left="567"/>
        <w:jc w:val="both"/>
        <w:rPr>
          <w:rFonts w:ascii="Times New Roman" w:hAnsi="Times New Roman"/>
          <w:sz w:val="24"/>
          <w:szCs w:val="24"/>
        </w:rPr>
      </w:pPr>
      <w:r w:rsidRPr="00D85CFA">
        <w:rPr>
          <w:rFonts w:ascii="Times New Roman" w:hAnsi="Times New Roman"/>
          <w:sz w:val="24"/>
          <w:szCs w:val="24"/>
        </w:rPr>
        <w:t>Las transacciones en moneda extranjera son convertidas a la moneda funcional</w:t>
      </w:r>
      <w:r>
        <w:rPr>
          <w:rFonts w:ascii="Times New Roman" w:hAnsi="Times New Roman"/>
          <w:sz w:val="24"/>
          <w:szCs w:val="24"/>
        </w:rPr>
        <w:t xml:space="preserve"> </w:t>
      </w:r>
      <w:r w:rsidRPr="00D85CFA">
        <w:rPr>
          <w:rFonts w:ascii="Times New Roman" w:hAnsi="Times New Roman"/>
          <w:sz w:val="24"/>
          <w:szCs w:val="24"/>
        </w:rPr>
        <w:t xml:space="preserve">respectiva de </w:t>
      </w:r>
      <w:r>
        <w:rPr>
          <w:rFonts w:ascii="Times New Roman" w:hAnsi="Times New Roman"/>
          <w:sz w:val="24"/>
          <w:szCs w:val="24"/>
        </w:rPr>
        <w:t>la entidad</w:t>
      </w:r>
      <w:r w:rsidRPr="00D85CFA">
        <w:rPr>
          <w:rFonts w:ascii="Times New Roman" w:hAnsi="Times New Roman"/>
          <w:sz w:val="24"/>
          <w:szCs w:val="24"/>
        </w:rPr>
        <w:t xml:space="preserve"> en las fechas de las transacciones. Los activos y pasivos monetarios</w:t>
      </w:r>
      <w:r>
        <w:rPr>
          <w:rFonts w:ascii="Times New Roman" w:hAnsi="Times New Roman"/>
          <w:sz w:val="24"/>
          <w:szCs w:val="24"/>
        </w:rPr>
        <w:t xml:space="preserve"> </w:t>
      </w:r>
      <w:r w:rsidRPr="00D85CFA">
        <w:rPr>
          <w:rFonts w:ascii="Times New Roman" w:hAnsi="Times New Roman"/>
          <w:sz w:val="24"/>
          <w:szCs w:val="24"/>
        </w:rPr>
        <w:t>denominados en monedas extranjeras a la fecha de reporte son convertidos a la</w:t>
      </w:r>
      <w:r>
        <w:rPr>
          <w:rFonts w:ascii="Times New Roman" w:hAnsi="Times New Roman"/>
          <w:sz w:val="24"/>
          <w:szCs w:val="24"/>
        </w:rPr>
        <w:t xml:space="preserve"> </w:t>
      </w:r>
      <w:r w:rsidRPr="00D85CFA">
        <w:rPr>
          <w:rFonts w:ascii="Times New Roman" w:hAnsi="Times New Roman"/>
          <w:sz w:val="24"/>
          <w:szCs w:val="24"/>
        </w:rPr>
        <w:t>moneda funcional a la tasa de cambio de esa fecha. Los activos y pasivos no</w:t>
      </w:r>
      <w:r>
        <w:rPr>
          <w:rFonts w:ascii="Times New Roman" w:hAnsi="Times New Roman"/>
          <w:sz w:val="24"/>
          <w:szCs w:val="24"/>
        </w:rPr>
        <w:t xml:space="preserve"> </w:t>
      </w:r>
      <w:r w:rsidRPr="00D85CFA">
        <w:rPr>
          <w:rFonts w:ascii="Times New Roman" w:hAnsi="Times New Roman"/>
          <w:sz w:val="24"/>
          <w:szCs w:val="24"/>
        </w:rPr>
        <w:t>monetarios denominados en monedas extranjeras que son medidos al costo histórico en</w:t>
      </w:r>
      <w:r>
        <w:rPr>
          <w:rFonts w:ascii="Times New Roman" w:hAnsi="Times New Roman"/>
          <w:sz w:val="24"/>
          <w:szCs w:val="24"/>
        </w:rPr>
        <w:t xml:space="preserve"> </w:t>
      </w:r>
      <w:r w:rsidRPr="00D85CFA">
        <w:rPr>
          <w:rFonts w:ascii="Times New Roman" w:hAnsi="Times New Roman"/>
          <w:sz w:val="24"/>
          <w:szCs w:val="24"/>
        </w:rPr>
        <w:t>una moneda extranjera no se convierten.</w:t>
      </w:r>
    </w:p>
    <w:p w14:paraId="2B96E75F" w14:textId="77777777" w:rsidR="00D85CFA" w:rsidRPr="00E2373F" w:rsidRDefault="00D85CFA" w:rsidP="00D85CFA">
      <w:pPr>
        <w:pStyle w:val="Prrafodelista"/>
        <w:spacing w:after="0" w:line="240" w:lineRule="auto"/>
        <w:ind w:left="927"/>
        <w:jc w:val="both"/>
        <w:rPr>
          <w:rFonts w:ascii="Times New Roman" w:hAnsi="Times New Roman"/>
          <w:b/>
          <w:sz w:val="24"/>
          <w:szCs w:val="24"/>
        </w:rPr>
      </w:pPr>
    </w:p>
    <w:p w14:paraId="0D3FA29C" w14:textId="77777777" w:rsidR="00637533" w:rsidRPr="00AC4D9D" w:rsidRDefault="00FC0019" w:rsidP="00425DA9">
      <w:pPr>
        <w:pStyle w:val="Ttulo2"/>
        <w:numPr>
          <w:ilvl w:val="1"/>
          <w:numId w:val="6"/>
        </w:numPr>
        <w:ind w:left="567" w:hanging="567"/>
        <w:rPr>
          <w:szCs w:val="22"/>
        </w:rPr>
      </w:pPr>
      <w:bookmarkStart w:id="11" w:name="_Toc99455298"/>
      <w:r w:rsidRPr="00AC4D9D">
        <w:rPr>
          <w:szCs w:val="22"/>
        </w:rPr>
        <w:t>Hechos ocurridos después del periodo contable</w:t>
      </w:r>
      <w:bookmarkEnd w:id="11"/>
    </w:p>
    <w:p w14:paraId="1037AAAE" w14:textId="77777777" w:rsidR="00637533" w:rsidRDefault="00637533" w:rsidP="00667BC9">
      <w:pPr>
        <w:pStyle w:val="Prrafodelista"/>
        <w:spacing w:after="0" w:line="240" w:lineRule="auto"/>
        <w:ind w:left="567"/>
        <w:jc w:val="both"/>
        <w:rPr>
          <w:rFonts w:ascii="Times New Roman" w:hAnsi="Times New Roman"/>
          <w:b/>
          <w:sz w:val="24"/>
          <w:szCs w:val="24"/>
        </w:rPr>
      </w:pPr>
    </w:p>
    <w:p w14:paraId="10B1B6EE" w14:textId="79F1D905" w:rsidR="00827FC2" w:rsidRDefault="00BA6002" w:rsidP="00BA6002">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La entidad</w:t>
      </w:r>
      <w:r w:rsidRPr="00BA6002">
        <w:rPr>
          <w:rFonts w:ascii="Times New Roman" w:hAnsi="Times New Roman"/>
          <w:sz w:val="24"/>
          <w:szCs w:val="24"/>
        </w:rPr>
        <w:t xml:space="preserve"> deberá ajustar y/o revelar en sus estados financieros los eventos favorables o</w:t>
      </w:r>
      <w:r>
        <w:rPr>
          <w:rFonts w:ascii="Times New Roman" w:hAnsi="Times New Roman"/>
          <w:sz w:val="24"/>
          <w:szCs w:val="24"/>
        </w:rPr>
        <w:t xml:space="preserve"> </w:t>
      </w:r>
      <w:r w:rsidRPr="00BA6002">
        <w:rPr>
          <w:rFonts w:ascii="Times New Roman" w:hAnsi="Times New Roman"/>
          <w:sz w:val="24"/>
          <w:szCs w:val="24"/>
        </w:rPr>
        <w:t>desfavorables, ocurridos después del periodo sobre el que se informa; siempre que se</w:t>
      </w:r>
      <w:r>
        <w:rPr>
          <w:rFonts w:ascii="Times New Roman" w:hAnsi="Times New Roman"/>
          <w:sz w:val="24"/>
          <w:szCs w:val="24"/>
        </w:rPr>
        <w:t xml:space="preserve"> </w:t>
      </w:r>
      <w:r w:rsidRPr="00BA6002">
        <w:rPr>
          <w:rFonts w:ascii="Times New Roman" w:hAnsi="Times New Roman"/>
          <w:sz w:val="24"/>
          <w:szCs w:val="24"/>
        </w:rPr>
        <w:t>conozcan antes de la aprobación para la emisión de los estados financieros por parte de la</w:t>
      </w:r>
      <w:r>
        <w:rPr>
          <w:rFonts w:ascii="Times New Roman" w:hAnsi="Times New Roman"/>
          <w:sz w:val="24"/>
          <w:szCs w:val="24"/>
        </w:rPr>
        <w:t xml:space="preserve"> </w:t>
      </w:r>
      <w:r w:rsidRPr="00BA6002">
        <w:rPr>
          <w:rFonts w:ascii="Times New Roman" w:hAnsi="Times New Roman"/>
          <w:sz w:val="24"/>
          <w:szCs w:val="24"/>
        </w:rPr>
        <w:t>Junta Directiva.</w:t>
      </w:r>
    </w:p>
    <w:p w14:paraId="4E1F90D2" w14:textId="2C03B9CF" w:rsidR="002C4867" w:rsidRDefault="002C4867" w:rsidP="00BA6002">
      <w:pPr>
        <w:pStyle w:val="Prrafodelista"/>
        <w:spacing w:after="0" w:line="240" w:lineRule="auto"/>
        <w:ind w:left="567"/>
        <w:jc w:val="both"/>
        <w:rPr>
          <w:rFonts w:ascii="Times New Roman" w:hAnsi="Times New Roman"/>
          <w:sz w:val="24"/>
          <w:szCs w:val="24"/>
        </w:rPr>
      </w:pPr>
    </w:p>
    <w:p w14:paraId="0EC179C7" w14:textId="4D46910E" w:rsidR="003A2B0F" w:rsidRDefault="003A2B0F" w:rsidP="003A2B0F">
      <w:pPr>
        <w:pStyle w:val="Prrafodelista"/>
        <w:spacing w:after="0" w:line="240" w:lineRule="auto"/>
        <w:ind w:left="567"/>
        <w:jc w:val="both"/>
        <w:rPr>
          <w:rFonts w:ascii="Times New Roman" w:hAnsi="Times New Roman"/>
          <w:sz w:val="24"/>
          <w:szCs w:val="24"/>
        </w:rPr>
      </w:pPr>
      <w:r w:rsidRPr="003A2B0F">
        <w:rPr>
          <w:rFonts w:ascii="Times New Roman" w:hAnsi="Times New Roman"/>
          <w:sz w:val="24"/>
          <w:szCs w:val="24"/>
        </w:rPr>
        <w:t>Existen dos clases de eventos:</w:t>
      </w:r>
    </w:p>
    <w:p w14:paraId="2737A9F8" w14:textId="77777777" w:rsidR="003A2B0F" w:rsidRPr="003A2B0F" w:rsidRDefault="003A2B0F" w:rsidP="003A2B0F">
      <w:pPr>
        <w:pStyle w:val="Prrafodelista"/>
        <w:spacing w:after="0" w:line="240" w:lineRule="auto"/>
        <w:ind w:left="567"/>
        <w:jc w:val="both"/>
        <w:rPr>
          <w:rFonts w:ascii="Times New Roman" w:hAnsi="Times New Roman"/>
          <w:sz w:val="24"/>
          <w:szCs w:val="24"/>
        </w:rPr>
      </w:pPr>
    </w:p>
    <w:p w14:paraId="2F6986C2" w14:textId="77777777" w:rsidR="003A2B0F" w:rsidRPr="00DE37B1" w:rsidRDefault="003A2B0F" w:rsidP="00C8599D">
      <w:pPr>
        <w:pStyle w:val="Prrafodelista"/>
        <w:spacing w:after="0" w:line="240" w:lineRule="auto"/>
        <w:ind w:left="567"/>
        <w:jc w:val="both"/>
        <w:rPr>
          <w:rFonts w:ascii="Times New Roman" w:hAnsi="Times New Roman"/>
          <w:b/>
          <w:bCs/>
          <w:sz w:val="24"/>
          <w:szCs w:val="24"/>
        </w:rPr>
      </w:pPr>
      <w:r w:rsidRPr="003A2B0F">
        <w:rPr>
          <w:rFonts w:ascii="Times New Roman" w:hAnsi="Times New Roman"/>
          <w:b/>
          <w:bCs/>
          <w:sz w:val="24"/>
          <w:szCs w:val="24"/>
        </w:rPr>
        <w:t>i)</w:t>
      </w:r>
      <w:r w:rsidRPr="003A2B0F">
        <w:rPr>
          <w:rFonts w:ascii="Times New Roman" w:hAnsi="Times New Roman"/>
          <w:sz w:val="24"/>
          <w:szCs w:val="24"/>
        </w:rPr>
        <w:t xml:space="preserve"> </w:t>
      </w:r>
      <w:r w:rsidRPr="00DE37B1">
        <w:rPr>
          <w:rFonts w:ascii="Times New Roman" w:hAnsi="Times New Roman"/>
          <w:b/>
          <w:bCs/>
          <w:sz w:val="24"/>
          <w:szCs w:val="24"/>
        </w:rPr>
        <w:t>Hechos ocurridos después del periodo sobre el que se informa que implican</w:t>
      </w:r>
    </w:p>
    <w:p w14:paraId="25FBF4CC" w14:textId="7E63948B" w:rsidR="002C4867" w:rsidRPr="00DE37B1" w:rsidRDefault="003A2B0F" w:rsidP="00C8599D">
      <w:pPr>
        <w:pStyle w:val="Prrafodelista"/>
        <w:spacing w:after="0" w:line="240" w:lineRule="auto"/>
        <w:ind w:left="567"/>
        <w:jc w:val="both"/>
        <w:rPr>
          <w:rFonts w:ascii="Times New Roman" w:hAnsi="Times New Roman"/>
          <w:b/>
          <w:bCs/>
          <w:sz w:val="24"/>
          <w:szCs w:val="24"/>
        </w:rPr>
      </w:pPr>
      <w:r w:rsidRPr="00DE37B1">
        <w:rPr>
          <w:rFonts w:ascii="Times New Roman" w:hAnsi="Times New Roman"/>
          <w:b/>
          <w:bCs/>
          <w:sz w:val="24"/>
          <w:szCs w:val="24"/>
        </w:rPr>
        <w:t>ajustes</w:t>
      </w:r>
    </w:p>
    <w:p w14:paraId="76B3A241" w14:textId="73A6B65E" w:rsidR="00CC2D8D" w:rsidRDefault="00CC2D8D" w:rsidP="00C8599D">
      <w:pPr>
        <w:spacing w:after="0" w:line="240" w:lineRule="auto"/>
        <w:ind w:left="567"/>
        <w:jc w:val="both"/>
        <w:rPr>
          <w:rFonts w:ascii="Times New Roman" w:hAnsi="Times New Roman"/>
          <w:bCs/>
          <w:sz w:val="24"/>
          <w:szCs w:val="24"/>
        </w:rPr>
      </w:pPr>
      <w:r w:rsidRPr="00CC2D8D">
        <w:rPr>
          <w:rFonts w:ascii="Times New Roman" w:hAnsi="Times New Roman"/>
          <w:bCs/>
          <w:sz w:val="24"/>
          <w:szCs w:val="24"/>
        </w:rPr>
        <w:t xml:space="preserve">La </w:t>
      </w:r>
      <w:r w:rsidR="001C4978">
        <w:rPr>
          <w:rFonts w:ascii="Times New Roman" w:hAnsi="Times New Roman"/>
          <w:bCs/>
          <w:sz w:val="24"/>
          <w:szCs w:val="24"/>
        </w:rPr>
        <w:t>entidad</w:t>
      </w:r>
      <w:r w:rsidRPr="00CC2D8D">
        <w:rPr>
          <w:rFonts w:ascii="Times New Roman" w:hAnsi="Times New Roman"/>
          <w:bCs/>
          <w:sz w:val="24"/>
          <w:szCs w:val="24"/>
        </w:rPr>
        <w:t xml:space="preserve"> deberá ajustar las cifras registradas en los estados financieros para</w:t>
      </w:r>
      <w:r w:rsidR="001C4978">
        <w:rPr>
          <w:rFonts w:ascii="Times New Roman" w:hAnsi="Times New Roman"/>
          <w:bCs/>
          <w:sz w:val="24"/>
          <w:szCs w:val="24"/>
        </w:rPr>
        <w:t xml:space="preserve"> </w:t>
      </w:r>
      <w:r w:rsidRPr="00CC2D8D">
        <w:rPr>
          <w:rFonts w:ascii="Times New Roman" w:hAnsi="Times New Roman"/>
          <w:bCs/>
          <w:sz w:val="24"/>
          <w:szCs w:val="24"/>
        </w:rPr>
        <w:t>reflejar los efectos de los hechos posteriores al cierre que impliquen ajustes, siempre</w:t>
      </w:r>
      <w:r w:rsidR="001C4978">
        <w:rPr>
          <w:rFonts w:ascii="Times New Roman" w:hAnsi="Times New Roman"/>
          <w:bCs/>
          <w:sz w:val="24"/>
          <w:szCs w:val="24"/>
        </w:rPr>
        <w:t xml:space="preserve"> </w:t>
      </w:r>
      <w:r w:rsidRPr="00CC2D8D">
        <w:rPr>
          <w:rFonts w:ascii="Times New Roman" w:hAnsi="Times New Roman"/>
          <w:bCs/>
          <w:sz w:val="24"/>
          <w:szCs w:val="24"/>
        </w:rPr>
        <w:t>que estos ocurran antes de la fecha en que los estados financieros sean aprobados por</w:t>
      </w:r>
      <w:r w:rsidR="001C4978">
        <w:rPr>
          <w:rFonts w:ascii="Times New Roman" w:hAnsi="Times New Roman"/>
          <w:bCs/>
          <w:sz w:val="24"/>
          <w:szCs w:val="24"/>
        </w:rPr>
        <w:t xml:space="preserve"> </w:t>
      </w:r>
      <w:r w:rsidRPr="00CC2D8D">
        <w:rPr>
          <w:rFonts w:ascii="Times New Roman" w:hAnsi="Times New Roman"/>
          <w:bCs/>
          <w:sz w:val="24"/>
          <w:szCs w:val="24"/>
        </w:rPr>
        <w:t>la Junta Directiva.</w:t>
      </w:r>
    </w:p>
    <w:p w14:paraId="6716459B" w14:textId="77777777" w:rsidR="00587358" w:rsidRDefault="00587358" w:rsidP="00C8599D">
      <w:pPr>
        <w:spacing w:after="0" w:line="240" w:lineRule="auto"/>
        <w:ind w:left="567"/>
        <w:jc w:val="both"/>
        <w:rPr>
          <w:rFonts w:ascii="Times New Roman" w:hAnsi="Times New Roman"/>
          <w:b/>
          <w:sz w:val="24"/>
          <w:szCs w:val="24"/>
        </w:rPr>
      </w:pPr>
    </w:p>
    <w:p w14:paraId="515B0ADC" w14:textId="52CEEAE5" w:rsidR="00541E70" w:rsidRPr="00541E70" w:rsidRDefault="00541E70" w:rsidP="00C8599D">
      <w:pPr>
        <w:spacing w:after="0" w:line="240" w:lineRule="auto"/>
        <w:ind w:left="567"/>
        <w:jc w:val="both"/>
        <w:rPr>
          <w:rFonts w:ascii="Times New Roman" w:hAnsi="Times New Roman"/>
          <w:b/>
          <w:sz w:val="24"/>
          <w:szCs w:val="24"/>
        </w:rPr>
      </w:pPr>
      <w:r w:rsidRPr="00541E70">
        <w:rPr>
          <w:rFonts w:ascii="Times New Roman" w:hAnsi="Times New Roman"/>
          <w:b/>
          <w:sz w:val="24"/>
          <w:szCs w:val="24"/>
        </w:rPr>
        <w:t>ii)</w:t>
      </w:r>
      <w:r w:rsidRPr="00541E70">
        <w:rPr>
          <w:rFonts w:ascii="Times New Roman" w:hAnsi="Times New Roman"/>
          <w:bCs/>
          <w:sz w:val="24"/>
          <w:szCs w:val="24"/>
        </w:rPr>
        <w:t xml:space="preserve"> </w:t>
      </w:r>
      <w:r w:rsidRPr="00541E70">
        <w:rPr>
          <w:rFonts w:ascii="Times New Roman" w:hAnsi="Times New Roman"/>
          <w:b/>
          <w:sz w:val="24"/>
          <w:szCs w:val="24"/>
        </w:rPr>
        <w:t>Hechos posteriores que no implican ajustes</w:t>
      </w:r>
    </w:p>
    <w:p w14:paraId="684D3468" w14:textId="1B75FF9B" w:rsidR="001C4978" w:rsidRPr="00CC2D8D" w:rsidRDefault="00541E70" w:rsidP="00C8599D">
      <w:pPr>
        <w:spacing w:after="0" w:line="240" w:lineRule="auto"/>
        <w:ind w:left="567"/>
        <w:jc w:val="both"/>
        <w:rPr>
          <w:rFonts w:ascii="Times New Roman" w:hAnsi="Times New Roman"/>
          <w:bCs/>
          <w:sz w:val="24"/>
          <w:szCs w:val="24"/>
        </w:rPr>
      </w:pPr>
      <w:r w:rsidRPr="00541E70">
        <w:rPr>
          <w:rFonts w:ascii="Times New Roman" w:hAnsi="Times New Roman"/>
          <w:bCs/>
          <w:sz w:val="24"/>
          <w:szCs w:val="24"/>
        </w:rPr>
        <w:t>La Compañía no deberá modificar las cifras de los estados financieros como</w:t>
      </w:r>
      <w:r>
        <w:rPr>
          <w:rFonts w:ascii="Times New Roman" w:hAnsi="Times New Roman"/>
          <w:bCs/>
          <w:sz w:val="24"/>
          <w:szCs w:val="24"/>
        </w:rPr>
        <w:t xml:space="preserve"> </w:t>
      </w:r>
      <w:r w:rsidRPr="00541E70">
        <w:rPr>
          <w:rFonts w:ascii="Times New Roman" w:hAnsi="Times New Roman"/>
          <w:bCs/>
          <w:sz w:val="24"/>
          <w:szCs w:val="24"/>
        </w:rPr>
        <w:t>consecuencia de acontecimientos que no implican ajustes.</w:t>
      </w:r>
    </w:p>
    <w:p w14:paraId="2A2E2A40" w14:textId="77777777" w:rsidR="00A163EB" w:rsidRDefault="00A163EB" w:rsidP="00CC2D8D">
      <w:pPr>
        <w:spacing w:after="0" w:line="240" w:lineRule="auto"/>
        <w:jc w:val="both"/>
        <w:rPr>
          <w:rFonts w:ascii="Times New Roman" w:hAnsi="Times New Roman"/>
          <w:b/>
          <w:sz w:val="24"/>
          <w:szCs w:val="24"/>
        </w:rPr>
      </w:pPr>
    </w:p>
    <w:p w14:paraId="601893A0" w14:textId="77777777" w:rsidR="00637533" w:rsidRPr="00AC4D9D" w:rsidRDefault="00FC6E57" w:rsidP="00425DA9">
      <w:pPr>
        <w:pStyle w:val="Ttulo2"/>
        <w:numPr>
          <w:ilvl w:val="1"/>
          <w:numId w:val="6"/>
        </w:numPr>
        <w:ind w:left="567" w:hanging="567"/>
        <w:rPr>
          <w:szCs w:val="22"/>
        </w:rPr>
      </w:pPr>
      <w:bookmarkStart w:id="12" w:name="_Toc99455299"/>
      <w:r w:rsidRPr="00AC4D9D">
        <w:rPr>
          <w:szCs w:val="22"/>
        </w:rPr>
        <w:t>Otros aspectos</w:t>
      </w:r>
      <w:bookmarkEnd w:id="12"/>
    </w:p>
    <w:p w14:paraId="37AD99C0" w14:textId="77777777" w:rsidR="00637533" w:rsidRDefault="00637533" w:rsidP="00667BC9">
      <w:pPr>
        <w:pStyle w:val="Prrafodelista"/>
        <w:spacing w:after="0" w:line="240" w:lineRule="auto"/>
        <w:ind w:left="567"/>
        <w:jc w:val="both"/>
        <w:rPr>
          <w:rFonts w:ascii="Times New Roman" w:hAnsi="Times New Roman"/>
          <w:b/>
          <w:sz w:val="24"/>
          <w:szCs w:val="24"/>
        </w:rPr>
      </w:pPr>
    </w:p>
    <w:p w14:paraId="196EF2B2" w14:textId="2F247A3E" w:rsidR="00B72D2B" w:rsidRDefault="00393FA8" w:rsidP="00B716F0">
      <w:pPr>
        <w:spacing w:after="0" w:line="240" w:lineRule="auto"/>
        <w:ind w:left="567"/>
        <w:jc w:val="both"/>
        <w:rPr>
          <w:rFonts w:ascii="Times New Roman" w:hAnsi="Times New Roman"/>
          <w:bCs/>
          <w:sz w:val="24"/>
          <w:szCs w:val="24"/>
        </w:rPr>
      </w:pPr>
      <w:r w:rsidRPr="00B716F0">
        <w:rPr>
          <w:rFonts w:ascii="Times New Roman" w:hAnsi="Times New Roman"/>
          <w:bCs/>
          <w:sz w:val="24"/>
          <w:szCs w:val="24"/>
        </w:rPr>
        <w:t>Los saldos presentados en el Estado de Situación Financiera se clasifican en función de su vencimiento, es decir, como corrientes aquellos con vencimiento igual o inferior a doce</w:t>
      </w:r>
      <w:r w:rsidR="00B716F0" w:rsidRPr="00B716F0">
        <w:rPr>
          <w:rFonts w:ascii="Times New Roman" w:hAnsi="Times New Roman"/>
          <w:bCs/>
          <w:sz w:val="24"/>
          <w:szCs w:val="24"/>
        </w:rPr>
        <w:t xml:space="preserve"> </w:t>
      </w:r>
      <w:r w:rsidRPr="00B716F0">
        <w:rPr>
          <w:rFonts w:ascii="Times New Roman" w:hAnsi="Times New Roman"/>
          <w:bCs/>
          <w:sz w:val="24"/>
          <w:szCs w:val="24"/>
        </w:rPr>
        <w:t xml:space="preserve">meses, los que están dentro del ciclo normal de la operación de </w:t>
      </w:r>
      <w:r w:rsidR="00B716F0">
        <w:rPr>
          <w:rFonts w:ascii="Times New Roman" w:hAnsi="Times New Roman"/>
          <w:bCs/>
          <w:sz w:val="24"/>
          <w:szCs w:val="24"/>
        </w:rPr>
        <w:t>la entidad</w:t>
      </w:r>
      <w:r w:rsidRPr="00B716F0">
        <w:rPr>
          <w:rFonts w:ascii="Times New Roman" w:hAnsi="Times New Roman"/>
          <w:bCs/>
          <w:sz w:val="24"/>
          <w:szCs w:val="24"/>
        </w:rPr>
        <w:t>, y como no corrientes</w:t>
      </w:r>
      <w:r w:rsidR="00B716F0" w:rsidRPr="00B716F0">
        <w:rPr>
          <w:rFonts w:ascii="Times New Roman" w:hAnsi="Times New Roman"/>
          <w:bCs/>
          <w:sz w:val="24"/>
          <w:szCs w:val="24"/>
        </w:rPr>
        <w:t xml:space="preserve"> </w:t>
      </w:r>
      <w:r w:rsidRPr="00B716F0">
        <w:rPr>
          <w:rFonts w:ascii="Times New Roman" w:hAnsi="Times New Roman"/>
          <w:bCs/>
          <w:sz w:val="24"/>
          <w:szCs w:val="24"/>
        </w:rPr>
        <w:t>los de vencimiento superior a dicho período.</w:t>
      </w:r>
    </w:p>
    <w:p w14:paraId="0CDFD095" w14:textId="4C6055AB" w:rsidR="00B716F0" w:rsidRDefault="00B716F0" w:rsidP="00393FA8">
      <w:pPr>
        <w:pStyle w:val="Prrafodelista"/>
        <w:spacing w:after="0" w:line="240" w:lineRule="auto"/>
        <w:jc w:val="both"/>
        <w:rPr>
          <w:rFonts w:ascii="Times New Roman" w:hAnsi="Times New Roman"/>
          <w:sz w:val="24"/>
          <w:szCs w:val="24"/>
        </w:rPr>
      </w:pPr>
    </w:p>
    <w:p w14:paraId="26C36561" w14:textId="3114EF10" w:rsidR="00035F9D" w:rsidRDefault="00035F9D" w:rsidP="00393FA8">
      <w:pPr>
        <w:pStyle w:val="Prrafodelista"/>
        <w:spacing w:after="0" w:line="240" w:lineRule="auto"/>
        <w:jc w:val="both"/>
        <w:rPr>
          <w:rFonts w:ascii="Times New Roman" w:hAnsi="Times New Roman"/>
          <w:sz w:val="24"/>
          <w:szCs w:val="24"/>
        </w:rPr>
      </w:pPr>
    </w:p>
    <w:p w14:paraId="0B2414D4" w14:textId="4FBE26BE" w:rsidR="00035F9D" w:rsidRDefault="00035F9D" w:rsidP="00393FA8">
      <w:pPr>
        <w:pStyle w:val="Prrafodelista"/>
        <w:spacing w:after="0" w:line="240" w:lineRule="auto"/>
        <w:jc w:val="both"/>
        <w:rPr>
          <w:rFonts w:ascii="Times New Roman" w:hAnsi="Times New Roman"/>
          <w:sz w:val="24"/>
          <w:szCs w:val="24"/>
        </w:rPr>
      </w:pPr>
    </w:p>
    <w:p w14:paraId="4CE136BE" w14:textId="6D720332" w:rsidR="00035F9D" w:rsidRDefault="00035F9D" w:rsidP="00393FA8">
      <w:pPr>
        <w:pStyle w:val="Prrafodelista"/>
        <w:spacing w:after="0" w:line="240" w:lineRule="auto"/>
        <w:jc w:val="both"/>
        <w:rPr>
          <w:rFonts w:ascii="Times New Roman" w:hAnsi="Times New Roman"/>
          <w:sz w:val="24"/>
          <w:szCs w:val="24"/>
        </w:rPr>
      </w:pPr>
    </w:p>
    <w:p w14:paraId="49F195BE" w14:textId="77777777" w:rsidR="00035F9D" w:rsidRPr="00E2373F" w:rsidRDefault="00035F9D" w:rsidP="00393FA8">
      <w:pPr>
        <w:pStyle w:val="Prrafodelista"/>
        <w:spacing w:after="0" w:line="240" w:lineRule="auto"/>
        <w:jc w:val="both"/>
        <w:rPr>
          <w:rFonts w:ascii="Times New Roman" w:hAnsi="Times New Roman"/>
          <w:sz w:val="24"/>
          <w:szCs w:val="24"/>
        </w:rPr>
      </w:pPr>
    </w:p>
    <w:p w14:paraId="1876D575" w14:textId="77777777" w:rsidR="000D5487" w:rsidRDefault="000D5487" w:rsidP="00073315">
      <w:pPr>
        <w:pStyle w:val="Ttulo1"/>
      </w:pPr>
    </w:p>
    <w:p w14:paraId="050F28CC" w14:textId="028737DD" w:rsidR="002F6BF4" w:rsidRPr="00E2373F" w:rsidRDefault="00FC6E57" w:rsidP="00073315">
      <w:pPr>
        <w:pStyle w:val="Ttulo1"/>
      </w:pPr>
      <w:bookmarkStart w:id="13" w:name="_Toc99455300"/>
      <w:r w:rsidRPr="00E2373F">
        <w:t>NOTA 3. JUICIOS, ESTIMACIONES</w:t>
      </w:r>
      <w:r w:rsidR="002F6BF4" w:rsidRPr="00E2373F">
        <w:t xml:space="preserve">, RIESGOS Y </w:t>
      </w:r>
      <w:r w:rsidR="00763171" w:rsidRPr="00E2373F">
        <w:t>CORRECCIÓN DE ERRORES CONTABLES</w:t>
      </w:r>
      <w:bookmarkEnd w:id="13"/>
    </w:p>
    <w:p w14:paraId="319CD42F" w14:textId="77777777" w:rsidR="00BB7BD6" w:rsidRPr="00E2373F" w:rsidRDefault="00BB7BD6" w:rsidP="00667BC9">
      <w:pPr>
        <w:spacing w:after="0" w:line="240" w:lineRule="auto"/>
        <w:jc w:val="both"/>
        <w:rPr>
          <w:rFonts w:ascii="Times New Roman" w:hAnsi="Times New Roman"/>
          <w:b/>
          <w:sz w:val="24"/>
          <w:szCs w:val="24"/>
        </w:rPr>
      </w:pPr>
    </w:p>
    <w:p w14:paraId="42F8AE86" w14:textId="39A9E3B9" w:rsidR="00637533" w:rsidRPr="00AC4D9D" w:rsidRDefault="00FC6E57" w:rsidP="00425DA9">
      <w:pPr>
        <w:pStyle w:val="Ttulo2"/>
        <w:numPr>
          <w:ilvl w:val="1"/>
          <w:numId w:val="7"/>
        </w:numPr>
        <w:ind w:left="567" w:hanging="567"/>
        <w:rPr>
          <w:szCs w:val="22"/>
        </w:rPr>
      </w:pPr>
      <w:bookmarkStart w:id="14" w:name="_Toc99455301"/>
      <w:r w:rsidRPr="00AC4D9D">
        <w:rPr>
          <w:szCs w:val="22"/>
        </w:rPr>
        <w:t>Juicios</w:t>
      </w:r>
      <w:bookmarkEnd w:id="14"/>
    </w:p>
    <w:p w14:paraId="480B1FDD" w14:textId="77777777" w:rsidR="00637533" w:rsidRPr="00637533" w:rsidRDefault="00637533" w:rsidP="00667BC9">
      <w:pPr>
        <w:pStyle w:val="Prrafodelista"/>
        <w:spacing w:after="0" w:line="240" w:lineRule="auto"/>
        <w:ind w:left="567"/>
        <w:jc w:val="both"/>
        <w:rPr>
          <w:rFonts w:ascii="Times New Roman" w:hAnsi="Times New Roman"/>
          <w:b/>
          <w:sz w:val="24"/>
          <w:szCs w:val="24"/>
        </w:rPr>
      </w:pPr>
    </w:p>
    <w:p w14:paraId="4A4A3859" w14:textId="3D4C3822" w:rsidR="00BB7BD6" w:rsidRDefault="006B3D19" w:rsidP="006B3D19">
      <w:pPr>
        <w:spacing w:after="0" w:line="240" w:lineRule="auto"/>
        <w:ind w:left="567"/>
        <w:jc w:val="both"/>
        <w:rPr>
          <w:rFonts w:ascii="Times New Roman" w:hAnsi="Times New Roman"/>
          <w:sz w:val="24"/>
          <w:szCs w:val="24"/>
        </w:rPr>
      </w:pPr>
      <w:r w:rsidRPr="006B3D19">
        <w:rPr>
          <w:rFonts w:ascii="Times New Roman" w:hAnsi="Times New Roman"/>
          <w:sz w:val="24"/>
          <w:szCs w:val="24"/>
        </w:rPr>
        <w:t>La preparación de los estados financieros de conformidad con el nuevo Marco Normativo para Entidades que no Cotizan en el Mercado de Valores requiere que la administración realice juicios, estimaciones y supuestos que afectan la aplicación de las políticas contables y los montos de activos, pasivos y pasivos contingentes en la fecha del balance, así como los ingresos y gastos del año. Los resultados reales pueden diferir de estas estimaciones.</w:t>
      </w:r>
    </w:p>
    <w:p w14:paraId="30124FE3" w14:textId="77777777" w:rsidR="006B3D19" w:rsidRPr="00E2373F" w:rsidRDefault="006B3D19" w:rsidP="006B3D19">
      <w:pPr>
        <w:spacing w:after="0" w:line="240" w:lineRule="auto"/>
        <w:ind w:left="567"/>
        <w:jc w:val="both"/>
        <w:rPr>
          <w:rFonts w:ascii="Times New Roman" w:hAnsi="Times New Roman"/>
          <w:b/>
          <w:sz w:val="24"/>
          <w:szCs w:val="24"/>
        </w:rPr>
      </w:pPr>
    </w:p>
    <w:p w14:paraId="168887AD" w14:textId="1D93B3E3" w:rsidR="00637533" w:rsidRPr="00AC4D9D" w:rsidRDefault="00FC6E57" w:rsidP="00425DA9">
      <w:pPr>
        <w:pStyle w:val="Ttulo2"/>
        <w:numPr>
          <w:ilvl w:val="1"/>
          <w:numId w:val="7"/>
        </w:numPr>
        <w:ind w:left="567" w:hanging="567"/>
        <w:rPr>
          <w:szCs w:val="22"/>
        </w:rPr>
      </w:pPr>
      <w:bookmarkStart w:id="15" w:name="_Toc99455302"/>
      <w:r w:rsidRPr="00AC4D9D">
        <w:rPr>
          <w:szCs w:val="22"/>
        </w:rPr>
        <w:t>Estimaciones y supuestos</w:t>
      </w:r>
      <w:bookmarkEnd w:id="15"/>
    </w:p>
    <w:p w14:paraId="6DA993B0" w14:textId="77777777" w:rsidR="00637533" w:rsidRDefault="00637533" w:rsidP="00667BC9">
      <w:pPr>
        <w:spacing w:after="0" w:line="240" w:lineRule="auto"/>
        <w:ind w:left="567"/>
        <w:jc w:val="both"/>
        <w:rPr>
          <w:rFonts w:ascii="Times New Roman" w:hAnsi="Times New Roman"/>
          <w:b/>
          <w:sz w:val="24"/>
          <w:szCs w:val="24"/>
        </w:rPr>
      </w:pPr>
    </w:p>
    <w:p w14:paraId="527531B8" w14:textId="518B6D98" w:rsidR="008F5124" w:rsidRPr="006B4AF3" w:rsidRDefault="006B4AF3" w:rsidP="006561E7">
      <w:pPr>
        <w:spacing w:after="0" w:line="240" w:lineRule="auto"/>
        <w:ind w:left="567"/>
        <w:jc w:val="both"/>
        <w:rPr>
          <w:rFonts w:ascii="Times New Roman" w:hAnsi="Times New Roman"/>
          <w:sz w:val="24"/>
          <w:szCs w:val="24"/>
        </w:rPr>
      </w:pPr>
      <w:r w:rsidRPr="006B4AF3">
        <w:rPr>
          <w:rFonts w:ascii="Times New Roman" w:hAnsi="Times New Roman"/>
          <w:sz w:val="24"/>
          <w:szCs w:val="24"/>
        </w:rPr>
        <w:t>Las estimaciones y supuestos relevantes son revisados regularmente. Las revisiones de las estimaciones contables son reconocidas en el período en que la estimación es revisada y en cualquier período futuro afectado.</w:t>
      </w:r>
    </w:p>
    <w:p w14:paraId="651F112A" w14:textId="77777777" w:rsidR="006B4AF3" w:rsidRDefault="006B4AF3" w:rsidP="006B4AF3">
      <w:pPr>
        <w:spacing w:after="0" w:line="240" w:lineRule="auto"/>
        <w:jc w:val="both"/>
        <w:rPr>
          <w:rFonts w:ascii="Times New Roman" w:hAnsi="Times New Roman"/>
          <w:sz w:val="24"/>
          <w:szCs w:val="24"/>
        </w:rPr>
      </w:pPr>
    </w:p>
    <w:p w14:paraId="48381F55" w14:textId="5EAEDE6B" w:rsidR="008F5124" w:rsidRDefault="00F6101E" w:rsidP="00667BC9">
      <w:pPr>
        <w:spacing w:after="0" w:line="240" w:lineRule="auto"/>
        <w:ind w:left="567"/>
        <w:jc w:val="both"/>
        <w:rPr>
          <w:rFonts w:ascii="Times New Roman" w:hAnsi="Times New Roman"/>
          <w:sz w:val="24"/>
          <w:szCs w:val="24"/>
        </w:rPr>
      </w:pPr>
      <w:r w:rsidRPr="00F6101E">
        <w:rPr>
          <w:rFonts w:ascii="Times New Roman" w:hAnsi="Times New Roman"/>
          <w:sz w:val="24"/>
          <w:szCs w:val="24"/>
        </w:rPr>
        <w:t>A continuación, se presentan los principales supuestos respecto del futuro y otras fuentes de incertidumbre que requieren estimaciones al cierre del periodo contable, y que presentan un riesgo significativo de causar ajustes materiales en los valores libros de activos y pasivos:</w:t>
      </w:r>
    </w:p>
    <w:p w14:paraId="629857B6" w14:textId="487AF89C" w:rsidR="00AE377A" w:rsidRDefault="00AE377A" w:rsidP="00AE377A">
      <w:pPr>
        <w:spacing w:after="0" w:line="240" w:lineRule="auto"/>
        <w:jc w:val="both"/>
        <w:rPr>
          <w:rFonts w:ascii="Times New Roman" w:hAnsi="Times New Roman"/>
          <w:sz w:val="24"/>
          <w:szCs w:val="24"/>
        </w:rPr>
      </w:pPr>
    </w:p>
    <w:p w14:paraId="011C792B" w14:textId="4C6684E9" w:rsidR="00840AF2" w:rsidRPr="008A6EFF" w:rsidRDefault="00840AF2" w:rsidP="00425DA9">
      <w:pPr>
        <w:pStyle w:val="Prrafodelista"/>
        <w:numPr>
          <w:ilvl w:val="0"/>
          <w:numId w:val="25"/>
        </w:numPr>
        <w:spacing w:after="0" w:line="240" w:lineRule="auto"/>
        <w:rPr>
          <w:rFonts w:ascii="Times New Roman" w:hAnsi="Times New Roman"/>
          <w:b/>
          <w:bCs/>
          <w:sz w:val="24"/>
          <w:szCs w:val="24"/>
        </w:rPr>
      </w:pPr>
      <w:r w:rsidRPr="008A6EFF">
        <w:rPr>
          <w:rFonts w:ascii="Times New Roman" w:hAnsi="Times New Roman"/>
          <w:b/>
          <w:bCs/>
          <w:sz w:val="24"/>
          <w:szCs w:val="24"/>
        </w:rPr>
        <w:t>Vida útil, valores residuales y métodos de depreciación de propiedades, planta y equipo, y de propiedades de inversión</w:t>
      </w:r>
    </w:p>
    <w:p w14:paraId="456A690B" w14:textId="77777777" w:rsidR="00E14EA0" w:rsidRDefault="00E14EA0" w:rsidP="00E14EA0">
      <w:pPr>
        <w:spacing w:after="0" w:line="240" w:lineRule="auto"/>
        <w:ind w:left="708"/>
        <w:jc w:val="both"/>
        <w:rPr>
          <w:rFonts w:ascii="Times New Roman" w:hAnsi="Times New Roman"/>
          <w:sz w:val="24"/>
          <w:szCs w:val="24"/>
        </w:rPr>
      </w:pPr>
    </w:p>
    <w:p w14:paraId="30A048D9" w14:textId="281F973C" w:rsidR="00F36882" w:rsidRDefault="00840AF2" w:rsidP="00E14EA0">
      <w:pPr>
        <w:spacing w:after="0" w:line="240" w:lineRule="auto"/>
        <w:ind w:left="708"/>
        <w:jc w:val="both"/>
        <w:rPr>
          <w:rFonts w:ascii="Times New Roman" w:hAnsi="Times New Roman"/>
          <w:sz w:val="24"/>
          <w:szCs w:val="24"/>
        </w:rPr>
      </w:pPr>
      <w:r w:rsidRPr="00840AF2">
        <w:rPr>
          <w:rFonts w:ascii="Times New Roman" w:hAnsi="Times New Roman"/>
          <w:sz w:val="24"/>
          <w:szCs w:val="24"/>
        </w:rPr>
        <w:t>La vida útil, los valores residuales y el método de depreciación de las propiedades, planta y equipo, y de propiedades de inversión se revisan y ajustan, de ser necesario, al final de cada periodo contable. La determinación de las vidas útiles, los valores residuales y los métodos de depreciación se realiza teniendo en cuenta las características de cada uno de los tipos de activos registrados y considerando factores como el patrón de consumo de los beneficios económicos futuros, las condiciones tecnológicas, el uso recurrente del bien, las restricciones legales sobre los activos y el apoyo de los conceptos técnicos de expertos, entre otros.</w:t>
      </w:r>
    </w:p>
    <w:p w14:paraId="180709B8" w14:textId="77777777" w:rsidR="00CB78C3" w:rsidRDefault="00CB78C3" w:rsidP="00E14EA0">
      <w:pPr>
        <w:spacing w:after="0" w:line="240" w:lineRule="auto"/>
        <w:ind w:left="708"/>
        <w:jc w:val="both"/>
        <w:rPr>
          <w:rFonts w:ascii="Times New Roman" w:hAnsi="Times New Roman"/>
          <w:sz w:val="24"/>
          <w:szCs w:val="24"/>
        </w:rPr>
      </w:pPr>
    </w:p>
    <w:p w14:paraId="2AC5D0AA" w14:textId="77777777" w:rsidR="005E24E8" w:rsidRPr="005E24E8" w:rsidRDefault="005E24E8" w:rsidP="00425DA9">
      <w:pPr>
        <w:numPr>
          <w:ilvl w:val="0"/>
          <w:numId w:val="26"/>
        </w:numPr>
        <w:tabs>
          <w:tab w:val="left" w:pos="1276"/>
        </w:tabs>
        <w:suppressAutoHyphens/>
        <w:spacing w:after="0" w:line="240" w:lineRule="auto"/>
        <w:ind w:left="720" w:right="49"/>
        <w:contextualSpacing/>
        <w:jc w:val="both"/>
        <w:rPr>
          <w:rFonts w:ascii="Times New Roman" w:eastAsia="Times New Roman" w:hAnsi="Times New Roman"/>
          <w:b/>
          <w:bCs/>
          <w:sz w:val="24"/>
          <w:szCs w:val="24"/>
          <w:lang w:eastAsia="x-none"/>
        </w:rPr>
      </w:pPr>
      <w:r w:rsidRPr="005E24E8">
        <w:rPr>
          <w:rFonts w:ascii="Times New Roman" w:eastAsia="Times New Roman" w:hAnsi="Times New Roman"/>
          <w:b/>
          <w:bCs/>
          <w:sz w:val="24"/>
          <w:szCs w:val="24"/>
          <w:lang w:eastAsia="x-none"/>
        </w:rPr>
        <w:t>Deterioro de activos financieros</w:t>
      </w:r>
    </w:p>
    <w:p w14:paraId="01E2DF1B"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Los activos financieros son objeto de estimaciones por deterioro cuando existen indicios de deterioro. Para la determinación del valor presente de los flujos de efectivo futuros estimados de los activos financieros, la entidad calcula los flujos futuros a recibir a partir de las condiciones crediticias de la entidad responsable de realizar el pago y de las condiciones económicas del sector al cual este pertenece. Por su parte, cuando la tasa de descuento debe ser estimada, se toman tasas de mercado que reflejan el valor del dinero en el tiempo y el rendimiento por el riesgo asociado al activo.</w:t>
      </w:r>
    </w:p>
    <w:p w14:paraId="7795BE03" w14:textId="198E2774" w:rsid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7D8C4748" w14:textId="2C2AB09B" w:rsidR="00035F9D" w:rsidRDefault="00035F9D"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7CC5EB6B" w14:textId="4FE56227" w:rsidR="00035F9D" w:rsidRDefault="00035F9D"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2DF35CCB" w14:textId="6C3B9D6D" w:rsidR="00035F9D" w:rsidRDefault="00035F9D"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46A76391" w14:textId="77777777" w:rsidR="005E24E8" w:rsidRPr="005E24E8" w:rsidRDefault="005E24E8" w:rsidP="00425DA9">
      <w:pPr>
        <w:numPr>
          <w:ilvl w:val="0"/>
          <w:numId w:val="26"/>
        </w:numPr>
        <w:tabs>
          <w:tab w:val="left" w:pos="1276"/>
        </w:tabs>
        <w:suppressAutoHyphens/>
        <w:spacing w:after="0" w:line="240" w:lineRule="auto"/>
        <w:ind w:left="720" w:right="49"/>
        <w:contextualSpacing/>
        <w:jc w:val="both"/>
        <w:rPr>
          <w:rFonts w:ascii="Times New Roman" w:eastAsia="Times New Roman" w:hAnsi="Times New Roman"/>
          <w:b/>
          <w:bCs/>
          <w:sz w:val="24"/>
          <w:szCs w:val="24"/>
          <w:lang w:eastAsia="x-none"/>
        </w:rPr>
      </w:pPr>
      <w:r w:rsidRPr="005E24E8">
        <w:rPr>
          <w:rFonts w:ascii="Times New Roman" w:eastAsia="Times New Roman" w:hAnsi="Times New Roman"/>
          <w:b/>
          <w:bCs/>
          <w:sz w:val="24"/>
          <w:szCs w:val="24"/>
          <w:lang w:eastAsia="x-none"/>
        </w:rPr>
        <w:lastRenderedPageBreak/>
        <w:t>Deterioro de activos no financieros</w:t>
      </w:r>
    </w:p>
    <w:p w14:paraId="1EA3806E"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Los activos no financieros son objeto de estimaciones por deterioro cuando existen indicios de deterioro, sean estos internos o externos. La estimación del valor en uso de un activo implica estimar las entradas y salidas futuras de efectivo derivadas tanto de la utilización continuada del activo como de su disposición final y aplicar la tasa de descuento adecuada a estos flujos de efectivo futuros. Las estimaciones de los flujos de efectivo futuros incluyen las proyecciones de entradas de efectivo procedentes de la utilización continuada del activo y de salidas de efectivo en las que sea necesario incurrir para generar dichas entradas de efectivo, así como los flujos netos de efectivo que se recibirían o pagarían por la disposición del activo al final de su vida útil. Las tasas de descuento que se utilizan son aquellas que reflejan las evaluaciones actuales del mercado correspondientes al valor temporal del dinero y los riesgos específicos del activo.</w:t>
      </w:r>
    </w:p>
    <w:p w14:paraId="0182ABC5"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0D0453B3" w14:textId="77777777" w:rsidR="005E24E8" w:rsidRPr="005E24E8" w:rsidRDefault="005E24E8" w:rsidP="00425DA9">
      <w:pPr>
        <w:numPr>
          <w:ilvl w:val="0"/>
          <w:numId w:val="26"/>
        </w:numPr>
        <w:tabs>
          <w:tab w:val="left" w:pos="1276"/>
        </w:tabs>
        <w:suppressAutoHyphens/>
        <w:spacing w:after="0" w:line="240" w:lineRule="auto"/>
        <w:ind w:left="720" w:right="49"/>
        <w:contextualSpacing/>
        <w:jc w:val="both"/>
        <w:rPr>
          <w:rFonts w:ascii="Times New Roman" w:eastAsia="Times New Roman" w:hAnsi="Times New Roman"/>
          <w:b/>
          <w:bCs/>
          <w:sz w:val="24"/>
          <w:szCs w:val="24"/>
          <w:lang w:eastAsia="x-none"/>
        </w:rPr>
      </w:pPr>
      <w:r w:rsidRPr="005E24E8">
        <w:rPr>
          <w:rFonts w:ascii="Times New Roman" w:eastAsia="Times New Roman" w:hAnsi="Times New Roman"/>
          <w:b/>
          <w:bCs/>
          <w:sz w:val="24"/>
          <w:szCs w:val="24"/>
          <w:lang w:eastAsia="x-none"/>
        </w:rPr>
        <w:t>Provisiones y pasivos contingentes</w:t>
      </w:r>
    </w:p>
    <w:p w14:paraId="7A0BB72B"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 xml:space="preserve">La entidad considera como provisiones aquellas obligaciones presentes sobre las cuales se tiene incertidumbre en relación con su cuantía o vencimiento. </w:t>
      </w:r>
    </w:p>
    <w:p w14:paraId="2E7EDA5B"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538B9C51"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La determinación del valor de la provisión se realiza con base en la mejor estimación del desembolso que será necesario para liquidar la obligación correspondiente, considerando toda la información disponible al cierre del periodo contable, incluida la opinión de expertos independientes, tales como asesores legales o financieros.</w:t>
      </w:r>
    </w:p>
    <w:p w14:paraId="2DF89F4D"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36041894"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Debido a las incertidumbres inherentes a las estimaciones necesarias para determinar el valor de las provisiones, los desembolsos reales pueden diferir de los valores reconocidos inicialmente sobre la base de las estimaciones realizadas.</w:t>
      </w:r>
    </w:p>
    <w:p w14:paraId="6D60F722" w14:textId="77777777"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p>
    <w:p w14:paraId="6134BB28" w14:textId="42BC324C" w:rsidR="005E24E8" w:rsidRPr="005E24E8" w:rsidRDefault="005E24E8" w:rsidP="00C8599D">
      <w:pPr>
        <w:tabs>
          <w:tab w:val="left" w:pos="1276"/>
        </w:tabs>
        <w:suppressAutoHyphens/>
        <w:spacing w:after="0" w:line="240" w:lineRule="auto"/>
        <w:ind w:left="720" w:right="49"/>
        <w:contextualSpacing/>
        <w:jc w:val="both"/>
        <w:rPr>
          <w:rFonts w:ascii="Times New Roman" w:eastAsia="Times New Roman" w:hAnsi="Times New Roman"/>
          <w:bCs/>
          <w:sz w:val="24"/>
          <w:szCs w:val="24"/>
          <w:lang w:eastAsia="x-none"/>
        </w:rPr>
      </w:pPr>
      <w:r w:rsidRPr="005E24E8">
        <w:rPr>
          <w:rFonts w:ascii="Times New Roman" w:eastAsia="Times New Roman" w:hAnsi="Times New Roman"/>
          <w:bCs/>
          <w:sz w:val="24"/>
          <w:szCs w:val="24"/>
          <w:lang w:eastAsia="x-none"/>
        </w:rPr>
        <w:t>Por otra parte, la entidad considera como pasivos contingentes aquellas obligaciones posibles cuya existencia quedará confirmada solo si llegan a ocurrir, o no, uno o más sucesos futuros inciertos, que no están enteramente bajo el control de la entidad. De las obligaciones cuya probabilidad de pago no sea probable serán reveladas como pasivos contingentes. Adicionalmente, se revelan como pasivos contingentes aquellas obligaciones presentes cuyo valor no pueda estimarse con suficiente probabilidad. Cuando la probabilidad de pago de la obligación sea poco</w:t>
      </w:r>
      <w:r w:rsidR="003A58C9">
        <w:rPr>
          <w:rFonts w:ascii="Times New Roman" w:eastAsia="Times New Roman" w:hAnsi="Times New Roman"/>
          <w:bCs/>
          <w:sz w:val="24"/>
          <w:szCs w:val="24"/>
          <w:lang w:eastAsia="x-none"/>
        </w:rPr>
        <w:t xml:space="preserve"> </w:t>
      </w:r>
      <w:r w:rsidRPr="005E24E8">
        <w:rPr>
          <w:rFonts w:ascii="Times New Roman" w:eastAsia="Times New Roman" w:hAnsi="Times New Roman"/>
          <w:bCs/>
          <w:sz w:val="24"/>
          <w:szCs w:val="24"/>
          <w:lang w:eastAsia="x-none"/>
        </w:rPr>
        <w:t>probable, esta será clasificada como remota y no será objeto de reconocimiento ni revelación.</w:t>
      </w:r>
    </w:p>
    <w:p w14:paraId="17F023C8" w14:textId="4510294A" w:rsidR="00AC6173" w:rsidRDefault="00AC6173" w:rsidP="00667BC9">
      <w:pPr>
        <w:spacing w:after="0" w:line="240" w:lineRule="auto"/>
        <w:jc w:val="both"/>
        <w:rPr>
          <w:rFonts w:ascii="Times New Roman" w:hAnsi="Times New Roman"/>
          <w:b/>
          <w:sz w:val="24"/>
          <w:szCs w:val="24"/>
        </w:rPr>
      </w:pPr>
    </w:p>
    <w:p w14:paraId="3D408EF9" w14:textId="47BA58F4" w:rsidR="00637533" w:rsidRPr="00AC4D9D" w:rsidRDefault="00174EC0" w:rsidP="00425DA9">
      <w:pPr>
        <w:pStyle w:val="Ttulo2"/>
        <w:numPr>
          <w:ilvl w:val="1"/>
          <w:numId w:val="7"/>
        </w:numPr>
        <w:ind w:left="567" w:hanging="567"/>
        <w:rPr>
          <w:szCs w:val="22"/>
        </w:rPr>
      </w:pPr>
      <w:bookmarkStart w:id="16" w:name="_Toc99455303"/>
      <w:r w:rsidRPr="00AC4D9D">
        <w:rPr>
          <w:szCs w:val="22"/>
        </w:rPr>
        <w:t>Correcciones contables</w:t>
      </w:r>
      <w:bookmarkEnd w:id="16"/>
    </w:p>
    <w:p w14:paraId="227A451E" w14:textId="77777777" w:rsidR="00637533" w:rsidRDefault="00637533" w:rsidP="00547377">
      <w:pPr>
        <w:spacing w:after="0" w:line="240" w:lineRule="auto"/>
        <w:ind w:left="567"/>
        <w:jc w:val="both"/>
        <w:rPr>
          <w:rFonts w:ascii="Times New Roman" w:hAnsi="Times New Roman"/>
          <w:b/>
          <w:sz w:val="24"/>
          <w:szCs w:val="24"/>
        </w:rPr>
      </w:pPr>
    </w:p>
    <w:p w14:paraId="667DC77A" w14:textId="3C5E2E9E" w:rsidR="00BB7BD6" w:rsidRDefault="00953990" w:rsidP="00953990">
      <w:pPr>
        <w:spacing w:after="0" w:line="240" w:lineRule="auto"/>
        <w:ind w:left="567"/>
        <w:jc w:val="both"/>
        <w:rPr>
          <w:rFonts w:ascii="Times New Roman" w:hAnsi="Times New Roman"/>
          <w:sz w:val="24"/>
          <w:szCs w:val="24"/>
        </w:rPr>
      </w:pPr>
      <w:r w:rsidRPr="00953990">
        <w:rPr>
          <w:rFonts w:ascii="Times New Roman" w:hAnsi="Times New Roman"/>
          <w:sz w:val="24"/>
          <w:szCs w:val="24"/>
        </w:rPr>
        <w:t xml:space="preserve">Para la preparación de los Estados Financieros la </w:t>
      </w:r>
      <w:r w:rsidR="00DF6DBF">
        <w:rPr>
          <w:rFonts w:ascii="Times New Roman" w:hAnsi="Times New Roman"/>
          <w:sz w:val="24"/>
          <w:szCs w:val="24"/>
        </w:rPr>
        <w:t>entidad</w:t>
      </w:r>
      <w:r w:rsidRPr="00953990">
        <w:rPr>
          <w:rFonts w:ascii="Times New Roman" w:hAnsi="Times New Roman"/>
          <w:sz w:val="24"/>
          <w:szCs w:val="24"/>
        </w:rPr>
        <w:t xml:space="preserve"> realiza las correcciones y los cambios</w:t>
      </w:r>
      <w:r>
        <w:rPr>
          <w:rFonts w:ascii="Times New Roman" w:hAnsi="Times New Roman"/>
          <w:sz w:val="24"/>
          <w:szCs w:val="24"/>
        </w:rPr>
        <w:t xml:space="preserve"> </w:t>
      </w:r>
      <w:r w:rsidRPr="00953990">
        <w:rPr>
          <w:rFonts w:ascii="Times New Roman" w:hAnsi="Times New Roman"/>
          <w:sz w:val="24"/>
          <w:szCs w:val="24"/>
        </w:rPr>
        <w:t>en políticas y en estimaciones que consideren son justificadas, cuyos efectos están incorporados en</w:t>
      </w:r>
      <w:r>
        <w:rPr>
          <w:rFonts w:ascii="Times New Roman" w:hAnsi="Times New Roman"/>
          <w:sz w:val="24"/>
          <w:szCs w:val="24"/>
        </w:rPr>
        <w:t xml:space="preserve"> </w:t>
      </w:r>
      <w:r w:rsidRPr="00953990">
        <w:rPr>
          <w:rFonts w:ascii="Times New Roman" w:hAnsi="Times New Roman"/>
          <w:sz w:val="24"/>
          <w:szCs w:val="24"/>
        </w:rPr>
        <w:t>las cifras presentadas en los diferentes elementos de los estados financieros, bien en el patrimonio</w:t>
      </w:r>
      <w:r>
        <w:rPr>
          <w:rFonts w:ascii="Times New Roman" w:hAnsi="Times New Roman"/>
          <w:sz w:val="24"/>
          <w:szCs w:val="24"/>
        </w:rPr>
        <w:t xml:space="preserve"> </w:t>
      </w:r>
      <w:r w:rsidRPr="00953990">
        <w:rPr>
          <w:rFonts w:ascii="Times New Roman" w:hAnsi="Times New Roman"/>
          <w:sz w:val="24"/>
          <w:szCs w:val="24"/>
        </w:rPr>
        <w:t>para el caso de las correcciones de periodos anteriores, o en los resultados del periodo para los</w:t>
      </w:r>
      <w:r>
        <w:rPr>
          <w:rFonts w:ascii="Times New Roman" w:hAnsi="Times New Roman"/>
          <w:sz w:val="24"/>
          <w:szCs w:val="24"/>
        </w:rPr>
        <w:t xml:space="preserve"> </w:t>
      </w:r>
      <w:r w:rsidRPr="00953990">
        <w:rPr>
          <w:rFonts w:ascii="Times New Roman" w:hAnsi="Times New Roman"/>
          <w:sz w:val="24"/>
          <w:szCs w:val="24"/>
        </w:rPr>
        <w:t>cambios prospectivos de políticas y estimaciones.</w:t>
      </w:r>
    </w:p>
    <w:p w14:paraId="6921FBBF" w14:textId="6FBB7522" w:rsidR="00953990" w:rsidRDefault="00953990" w:rsidP="00953990">
      <w:pPr>
        <w:spacing w:after="0" w:line="240" w:lineRule="auto"/>
        <w:jc w:val="both"/>
        <w:rPr>
          <w:rFonts w:ascii="Times New Roman" w:hAnsi="Times New Roman"/>
          <w:b/>
          <w:sz w:val="24"/>
          <w:szCs w:val="24"/>
        </w:rPr>
      </w:pPr>
    </w:p>
    <w:p w14:paraId="05897CDC" w14:textId="0687BFCB" w:rsidR="00035F9D" w:rsidRDefault="00035F9D" w:rsidP="00953990">
      <w:pPr>
        <w:spacing w:after="0" w:line="240" w:lineRule="auto"/>
        <w:jc w:val="both"/>
        <w:rPr>
          <w:rFonts w:ascii="Times New Roman" w:hAnsi="Times New Roman"/>
          <w:b/>
          <w:sz w:val="24"/>
          <w:szCs w:val="24"/>
        </w:rPr>
      </w:pPr>
    </w:p>
    <w:p w14:paraId="20D5873F" w14:textId="77777777" w:rsidR="00035F9D" w:rsidRDefault="00035F9D" w:rsidP="00953990">
      <w:pPr>
        <w:spacing w:after="0" w:line="240" w:lineRule="auto"/>
        <w:jc w:val="both"/>
        <w:rPr>
          <w:rFonts w:ascii="Times New Roman" w:hAnsi="Times New Roman"/>
          <w:b/>
          <w:sz w:val="24"/>
          <w:szCs w:val="24"/>
        </w:rPr>
      </w:pPr>
    </w:p>
    <w:p w14:paraId="17C41E60" w14:textId="77777777" w:rsidR="000421AD" w:rsidRDefault="000421AD" w:rsidP="00953990">
      <w:pPr>
        <w:spacing w:after="0" w:line="240" w:lineRule="auto"/>
        <w:jc w:val="both"/>
        <w:rPr>
          <w:rFonts w:ascii="Times New Roman" w:hAnsi="Times New Roman"/>
          <w:b/>
          <w:sz w:val="24"/>
          <w:szCs w:val="24"/>
        </w:rPr>
      </w:pPr>
    </w:p>
    <w:p w14:paraId="52534C75" w14:textId="77777777" w:rsidR="000421AD" w:rsidRPr="00E2373F" w:rsidRDefault="000421AD" w:rsidP="00953990">
      <w:pPr>
        <w:spacing w:after="0" w:line="240" w:lineRule="auto"/>
        <w:jc w:val="both"/>
        <w:rPr>
          <w:rFonts w:ascii="Times New Roman" w:hAnsi="Times New Roman"/>
          <w:b/>
          <w:sz w:val="24"/>
          <w:szCs w:val="24"/>
        </w:rPr>
      </w:pPr>
    </w:p>
    <w:p w14:paraId="7F6DC6DE" w14:textId="02E73C6E" w:rsidR="00637533" w:rsidRPr="00AC4D9D" w:rsidRDefault="00790FB1" w:rsidP="00425DA9">
      <w:pPr>
        <w:pStyle w:val="Ttulo2"/>
        <w:numPr>
          <w:ilvl w:val="1"/>
          <w:numId w:val="7"/>
        </w:numPr>
        <w:ind w:left="567" w:hanging="567"/>
        <w:rPr>
          <w:szCs w:val="22"/>
        </w:rPr>
      </w:pPr>
      <w:bookmarkStart w:id="17" w:name="_Toc99455304"/>
      <w:r>
        <w:rPr>
          <w:szCs w:val="22"/>
        </w:rPr>
        <w:t>A</w:t>
      </w:r>
      <w:r w:rsidR="00252268">
        <w:rPr>
          <w:szCs w:val="22"/>
        </w:rPr>
        <w:t>dministración y gestión del riesgo</w:t>
      </w:r>
      <w:bookmarkEnd w:id="17"/>
    </w:p>
    <w:p w14:paraId="2C921A03" w14:textId="77777777" w:rsidR="00637533" w:rsidRDefault="00637533" w:rsidP="00667BC9">
      <w:pPr>
        <w:spacing w:after="0" w:line="240" w:lineRule="auto"/>
        <w:ind w:left="567"/>
        <w:jc w:val="both"/>
        <w:rPr>
          <w:rFonts w:ascii="Times New Roman" w:hAnsi="Times New Roman"/>
          <w:b/>
          <w:sz w:val="24"/>
          <w:szCs w:val="24"/>
        </w:rPr>
      </w:pPr>
    </w:p>
    <w:p w14:paraId="142B1302" w14:textId="6894C2C8"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Las actividades desarrolladas por el Icfes se exponen a una variedad de riesgos financieros, de mercado (riesgo de valor razonable, tasa de interés, de flujo de caja por tasa de interés), y riesgo de liquidez, además de lo anterior también se encuentra expuesta a riesgos operacionales y legales.</w:t>
      </w:r>
    </w:p>
    <w:p w14:paraId="5384E87A" w14:textId="77777777" w:rsidR="002B0E75" w:rsidRPr="002B0E75" w:rsidRDefault="002B0E75" w:rsidP="002B0E75">
      <w:pPr>
        <w:spacing w:after="0" w:line="240" w:lineRule="auto"/>
        <w:ind w:left="567"/>
        <w:jc w:val="both"/>
        <w:rPr>
          <w:rFonts w:ascii="Times New Roman" w:hAnsi="Times New Roman"/>
          <w:sz w:val="24"/>
          <w:szCs w:val="24"/>
        </w:rPr>
      </w:pPr>
    </w:p>
    <w:p w14:paraId="2CD7655E" w14:textId="02B1710F"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De acuerdo con las normas establecidas por la Contaduría General de la Nación, el proceso de gestión de riesgos de la entidad se </w:t>
      </w:r>
      <w:r w:rsidR="00457690">
        <w:rPr>
          <w:rFonts w:ascii="Times New Roman" w:hAnsi="Times New Roman"/>
          <w:sz w:val="24"/>
          <w:szCs w:val="24"/>
        </w:rPr>
        <w:t xml:space="preserve">enmarca </w:t>
      </w:r>
      <w:r w:rsidRPr="002B0E75">
        <w:rPr>
          <w:rFonts w:ascii="Times New Roman" w:hAnsi="Times New Roman"/>
          <w:sz w:val="24"/>
          <w:szCs w:val="24"/>
        </w:rPr>
        <w:t xml:space="preserve">dentro de los lineamientos establecidos por la Dirección, congruentes con las directrices generales de gestión y administración aprobados por la Junta Directiva. </w:t>
      </w:r>
    </w:p>
    <w:p w14:paraId="5E5880D7" w14:textId="77777777" w:rsidR="002B0E75" w:rsidRPr="002B0E75" w:rsidRDefault="002B0E75" w:rsidP="002B0E75">
      <w:pPr>
        <w:spacing w:after="0" w:line="240" w:lineRule="auto"/>
        <w:ind w:left="567"/>
        <w:jc w:val="both"/>
        <w:rPr>
          <w:rFonts w:ascii="Times New Roman" w:hAnsi="Times New Roman"/>
          <w:sz w:val="24"/>
          <w:szCs w:val="24"/>
        </w:rPr>
      </w:pPr>
    </w:p>
    <w:p w14:paraId="0453B311"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La Junta Directiva es responsable por establecer y supervisar la estructura de administración de riesgo de cada entidad, así como las políticas y los sistemas de administración de riesgo, garantizando la adecuada organización, monitoreo y seguimiento de las actividades que desarrolla la entidad. </w:t>
      </w:r>
    </w:p>
    <w:p w14:paraId="1A09496D" w14:textId="77777777" w:rsidR="002B0E75" w:rsidRPr="002B0E75" w:rsidRDefault="002B0E75" w:rsidP="002B0E75">
      <w:pPr>
        <w:spacing w:after="0" w:line="240" w:lineRule="auto"/>
        <w:ind w:left="567"/>
        <w:jc w:val="both"/>
        <w:rPr>
          <w:rFonts w:ascii="Times New Roman" w:hAnsi="Times New Roman"/>
          <w:sz w:val="24"/>
          <w:szCs w:val="24"/>
        </w:rPr>
      </w:pPr>
    </w:p>
    <w:p w14:paraId="7152A18D"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Las siguientes son las entidades e instancias de vigilancia y control del Icfes:</w:t>
      </w:r>
    </w:p>
    <w:p w14:paraId="0A0C9EF4" w14:textId="77777777" w:rsidR="002B0E75" w:rsidRPr="002B0E75" w:rsidRDefault="002B0E75" w:rsidP="002B0E75">
      <w:pPr>
        <w:spacing w:after="0" w:line="240" w:lineRule="auto"/>
        <w:ind w:left="567"/>
        <w:jc w:val="both"/>
        <w:rPr>
          <w:rFonts w:ascii="Times New Roman" w:hAnsi="Times New Roman"/>
          <w:sz w:val="24"/>
          <w:szCs w:val="24"/>
        </w:rPr>
      </w:pPr>
    </w:p>
    <w:p w14:paraId="213AAC84" w14:textId="4B8FA0F5" w:rsidR="002B0E75" w:rsidRPr="002B0E75" w:rsidRDefault="002B0E75" w:rsidP="00FB4861">
      <w:pPr>
        <w:spacing w:after="0" w:line="240" w:lineRule="auto"/>
        <w:ind w:left="708"/>
        <w:jc w:val="both"/>
        <w:rPr>
          <w:rFonts w:ascii="Times New Roman" w:hAnsi="Times New Roman"/>
          <w:sz w:val="24"/>
          <w:szCs w:val="24"/>
        </w:rPr>
      </w:pPr>
      <w:r w:rsidRPr="002B0E75">
        <w:rPr>
          <w:rFonts w:ascii="Times New Roman" w:hAnsi="Times New Roman"/>
          <w:sz w:val="24"/>
          <w:szCs w:val="24"/>
        </w:rPr>
        <w:t>•</w:t>
      </w:r>
      <w:r w:rsidR="00FB4861">
        <w:rPr>
          <w:rFonts w:ascii="Times New Roman" w:hAnsi="Times New Roman"/>
          <w:sz w:val="24"/>
          <w:szCs w:val="24"/>
        </w:rPr>
        <w:t xml:space="preserve"> </w:t>
      </w:r>
      <w:r w:rsidRPr="002B0E75">
        <w:rPr>
          <w:rFonts w:ascii="Times New Roman" w:hAnsi="Times New Roman"/>
          <w:sz w:val="24"/>
          <w:szCs w:val="24"/>
        </w:rPr>
        <w:t xml:space="preserve">La Contraloría General de la </w:t>
      </w:r>
      <w:r w:rsidR="00A163EB" w:rsidRPr="002B0E75">
        <w:rPr>
          <w:rFonts w:ascii="Times New Roman" w:hAnsi="Times New Roman"/>
          <w:sz w:val="24"/>
          <w:szCs w:val="24"/>
        </w:rPr>
        <w:t>República</w:t>
      </w:r>
      <w:r w:rsidRPr="002B0E75">
        <w:rPr>
          <w:rFonts w:ascii="Times New Roman" w:hAnsi="Times New Roman"/>
          <w:sz w:val="24"/>
          <w:szCs w:val="24"/>
        </w:rPr>
        <w:t>, la cual ejerce control fiscal, de conformidad con las normas vigentes.</w:t>
      </w:r>
    </w:p>
    <w:p w14:paraId="62F90E6E" w14:textId="79A6ACA5" w:rsidR="002B0E75" w:rsidRPr="002B0E75" w:rsidRDefault="002B0E75" w:rsidP="00FB4861">
      <w:pPr>
        <w:spacing w:after="0" w:line="240" w:lineRule="auto"/>
        <w:ind w:left="708"/>
        <w:jc w:val="both"/>
        <w:rPr>
          <w:rFonts w:ascii="Times New Roman" w:hAnsi="Times New Roman"/>
          <w:sz w:val="24"/>
          <w:szCs w:val="24"/>
        </w:rPr>
      </w:pPr>
      <w:r w:rsidRPr="002B0E75">
        <w:rPr>
          <w:rFonts w:ascii="Times New Roman" w:hAnsi="Times New Roman"/>
          <w:sz w:val="24"/>
          <w:szCs w:val="24"/>
        </w:rPr>
        <w:t>•</w:t>
      </w:r>
      <w:r w:rsidR="00FB4861">
        <w:rPr>
          <w:rFonts w:ascii="Times New Roman" w:hAnsi="Times New Roman"/>
          <w:sz w:val="24"/>
          <w:szCs w:val="24"/>
        </w:rPr>
        <w:t xml:space="preserve"> </w:t>
      </w:r>
      <w:r w:rsidRPr="002B0E75">
        <w:rPr>
          <w:rFonts w:ascii="Times New Roman" w:hAnsi="Times New Roman"/>
          <w:sz w:val="24"/>
          <w:szCs w:val="24"/>
        </w:rPr>
        <w:t>La Contaduría General de la Nación ejerce la autoridad nacional en materia contable.</w:t>
      </w:r>
    </w:p>
    <w:p w14:paraId="07AB80EF" w14:textId="73FFF4D9" w:rsidR="002B0E75" w:rsidRPr="002B0E75" w:rsidRDefault="002B0E75" w:rsidP="00FB4861">
      <w:pPr>
        <w:spacing w:after="0" w:line="240" w:lineRule="auto"/>
        <w:ind w:left="708"/>
        <w:jc w:val="both"/>
        <w:rPr>
          <w:rFonts w:ascii="Times New Roman" w:hAnsi="Times New Roman"/>
          <w:sz w:val="24"/>
          <w:szCs w:val="24"/>
        </w:rPr>
      </w:pPr>
      <w:r w:rsidRPr="002B0E75">
        <w:rPr>
          <w:rFonts w:ascii="Times New Roman" w:hAnsi="Times New Roman"/>
          <w:sz w:val="24"/>
          <w:szCs w:val="24"/>
        </w:rPr>
        <w:t>•</w:t>
      </w:r>
      <w:r w:rsidR="00FB4861">
        <w:rPr>
          <w:rFonts w:ascii="Times New Roman" w:hAnsi="Times New Roman"/>
          <w:sz w:val="24"/>
          <w:szCs w:val="24"/>
        </w:rPr>
        <w:t xml:space="preserve"> </w:t>
      </w:r>
      <w:r w:rsidRPr="002B0E75">
        <w:rPr>
          <w:rFonts w:ascii="Times New Roman" w:hAnsi="Times New Roman"/>
          <w:sz w:val="24"/>
          <w:szCs w:val="24"/>
        </w:rPr>
        <w:t>La Oficina de Control Interno del Icfes, la cual desempeña funciones en el marco de la Ley 87 de 1993 y sus decretos reglamentarios.</w:t>
      </w:r>
    </w:p>
    <w:p w14:paraId="597E04AC" w14:textId="77777777" w:rsidR="002B0E75" w:rsidRPr="002B0E75" w:rsidRDefault="002B0E75" w:rsidP="002B0E75">
      <w:pPr>
        <w:spacing w:after="0" w:line="240" w:lineRule="auto"/>
        <w:ind w:left="567"/>
        <w:jc w:val="both"/>
        <w:rPr>
          <w:rFonts w:ascii="Times New Roman" w:hAnsi="Times New Roman"/>
          <w:sz w:val="24"/>
          <w:szCs w:val="24"/>
        </w:rPr>
      </w:pPr>
    </w:p>
    <w:p w14:paraId="52862EFF" w14:textId="77777777" w:rsidR="002B0E75" w:rsidRPr="00061AC2" w:rsidRDefault="002B0E75" w:rsidP="002B0E75">
      <w:pPr>
        <w:spacing w:after="0" w:line="240" w:lineRule="auto"/>
        <w:ind w:left="567"/>
        <w:jc w:val="both"/>
        <w:rPr>
          <w:rFonts w:ascii="Times New Roman" w:hAnsi="Times New Roman"/>
          <w:b/>
          <w:bCs/>
          <w:sz w:val="24"/>
          <w:szCs w:val="24"/>
        </w:rPr>
      </w:pPr>
      <w:r w:rsidRPr="00061AC2">
        <w:rPr>
          <w:rFonts w:ascii="Times New Roman" w:hAnsi="Times New Roman"/>
          <w:b/>
          <w:bCs/>
          <w:sz w:val="24"/>
          <w:szCs w:val="24"/>
        </w:rPr>
        <w:t>Riesgo de mercado</w:t>
      </w:r>
    </w:p>
    <w:p w14:paraId="00C5D7CA" w14:textId="2CD86C8F"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El riesgo de mercado es el riesgo de que los cambios en los precios de mercado, por </w:t>
      </w:r>
      <w:r w:rsidR="00061AC2" w:rsidRPr="002B0E75">
        <w:rPr>
          <w:rFonts w:ascii="Times New Roman" w:hAnsi="Times New Roman"/>
          <w:sz w:val="24"/>
          <w:szCs w:val="24"/>
        </w:rPr>
        <w:t>ejemplo,</w:t>
      </w:r>
      <w:r w:rsidRPr="002B0E75">
        <w:rPr>
          <w:rFonts w:ascii="Times New Roman" w:hAnsi="Times New Roman"/>
          <w:sz w:val="24"/>
          <w:szCs w:val="24"/>
        </w:rPr>
        <w:t xml:space="preserve"> en las tasas de cambio, tasas de interés, afecten el valor de los instrumentos financieros que mantiene. El objetivo de la administración del riesgo de mercado es administrar y controlar las exposiciones a este riesgo dentro de parámetros razonables y al mismo tiempo optimizar la rentabilidad.</w:t>
      </w:r>
    </w:p>
    <w:p w14:paraId="40F40A1E" w14:textId="77777777" w:rsidR="002B0E75" w:rsidRPr="002B0E75" w:rsidRDefault="002B0E75" w:rsidP="002B0E75">
      <w:pPr>
        <w:spacing w:after="0" w:line="240" w:lineRule="auto"/>
        <w:ind w:left="567"/>
        <w:jc w:val="both"/>
        <w:rPr>
          <w:rFonts w:ascii="Times New Roman" w:hAnsi="Times New Roman"/>
          <w:sz w:val="24"/>
          <w:szCs w:val="24"/>
        </w:rPr>
      </w:pPr>
    </w:p>
    <w:p w14:paraId="6D350168" w14:textId="2A28B57A" w:rsidR="002B0E75" w:rsidRPr="00061AC2" w:rsidRDefault="002B0E75" w:rsidP="002B0E75">
      <w:pPr>
        <w:spacing w:after="0" w:line="240" w:lineRule="auto"/>
        <w:ind w:left="567"/>
        <w:jc w:val="both"/>
        <w:rPr>
          <w:rFonts w:ascii="Times New Roman" w:hAnsi="Times New Roman"/>
          <w:b/>
          <w:bCs/>
          <w:sz w:val="24"/>
          <w:szCs w:val="24"/>
        </w:rPr>
      </w:pPr>
      <w:r w:rsidRPr="00061AC2">
        <w:rPr>
          <w:rFonts w:ascii="Times New Roman" w:hAnsi="Times New Roman"/>
          <w:b/>
          <w:bCs/>
          <w:sz w:val="24"/>
          <w:szCs w:val="24"/>
        </w:rPr>
        <w:t>Riesgo de liquidez</w:t>
      </w:r>
    </w:p>
    <w:p w14:paraId="2583D64A" w14:textId="06ECB5C0"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El riesgo de liquidez es el riesgo de que la entidad tenga dificultades para cumplir con las obligaciones asociadas con sus pasivos financieros, que son liquidados mediante la entrega de efectivo o de otros activos financieros. El enfoque de la entidad para administrar la liquidez es asegurar, en la </w:t>
      </w:r>
      <w:r w:rsidR="00E662D7">
        <w:rPr>
          <w:rFonts w:ascii="Times New Roman" w:hAnsi="Times New Roman"/>
          <w:sz w:val="24"/>
          <w:szCs w:val="24"/>
        </w:rPr>
        <w:t>mayor</w:t>
      </w:r>
      <w:r w:rsidRPr="002B0E75">
        <w:rPr>
          <w:rFonts w:ascii="Times New Roman" w:hAnsi="Times New Roman"/>
          <w:sz w:val="24"/>
          <w:szCs w:val="24"/>
        </w:rPr>
        <w:t xml:space="preserve"> medida posible, que siempre contará con la liquidez suficiente para cumplir con sus obligaciones cuando vencen, tanto en condiciones normales como de tensión, sin incurrir en pérdidas inaceptables o arriesgar la reputación de la entidad.</w:t>
      </w:r>
    </w:p>
    <w:p w14:paraId="4DC090C0" w14:textId="77777777" w:rsidR="002B0E75" w:rsidRPr="002B0E75" w:rsidRDefault="002B0E75" w:rsidP="002B0E75">
      <w:pPr>
        <w:spacing w:after="0" w:line="240" w:lineRule="auto"/>
        <w:ind w:left="567"/>
        <w:jc w:val="both"/>
        <w:rPr>
          <w:rFonts w:ascii="Times New Roman" w:hAnsi="Times New Roman"/>
          <w:sz w:val="24"/>
          <w:szCs w:val="24"/>
        </w:rPr>
      </w:pPr>
    </w:p>
    <w:p w14:paraId="6F7DF49B"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La entidad apunta a mantener el nivel de su efectivo y equivalentes de efectivo y otras inversiones de deuda altamente negociables en un monto que exceda las salidas de efectivo esperadas por los pasivos financieros (distintos de los deudores comerciales) durante un período de 60 días. La entidad también monitorea el nivel de entradas de efectivo esperadas por deudores comerciales y otras cuentas por cobrar junto con las salidas de efectivo esperadas por acreedores comerciales y otras cuentas por pagar.</w:t>
      </w:r>
    </w:p>
    <w:p w14:paraId="4E1DDCDD" w14:textId="77777777" w:rsidR="002B0E75" w:rsidRPr="002B0E75" w:rsidRDefault="002B0E75" w:rsidP="002B0E75">
      <w:pPr>
        <w:spacing w:after="0" w:line="240" w:lineRule="auto"/>
        <w:ind w:left="567"/>
        <w:jc w:val="both"/>
        <w:rPr>
          <w:rFonts w:ascii="Times New Roman" w:hAnsi="Times New Roman"/>
          <w:sz w:val="24"/>
          <w:szCs w:val="24"/>
        </w:rPr>
      </w:pPr>
    </w:p>
    <w:p w14:paraId="6AAEDC2E" w14:textId="77777777" w:rsidR="002B0E75" w:rsidRPr="00061AC2" w:rsidRDefault="002B0E75" w:rsidP="002B0E75">
      <w:pPr>
        <w:spacing w:after="0" w:line="240" w:lineRule="auto"/>
        <w:ind w:left="567"/>
        <w:jc w:val="both"/>
        <w:rPr>
          <w:rFonts w:ascii="Times New Roman" w:hAnsi="Times New Roman"/>
          <w:b/>
          <w:bCs/>
          <w:sz w:val="24"/>
          <w:szCs w:val="24"/>
        </w:rPr>
      </w:pPr>
      <w:r w:rsidRPr="00061AC2">
        <w:rPr>
          <w:rFonts w:ascii="Times New Roman" w:hAnsi="Times New Roman"/>
          <w:b/>
          <w:bCs/>
          <w:sz w:val="24"/>
          <w:szCs w:val="24"/>
        </w:rPr>
        <w:t>Riesgo legal</w:t>
      </w:r>
    </w:p>
    <w:p w14:paraId="5141BF01"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La Subdirección de Abastecimiento, Servicios Generales y la Oficina Asesora Jurídica soportan el proceso de gestión del riesgo legal en las actividades efectuadas por el Icfes, definen y establecen los procedimientos necesarios para controlar adecuadamente el riesgo legal de las operaciones y contratos, velando que estas cumplan con las normas legales, que se encuentren documentadas, analiza y redacta los contratos que soportan las operaciones u actividades por las diferentes subdirecciones. </w:t>
      </w:r>
    </w:p>
    <w:p w14:paraId="62497196" w14:textId="77777777" w:rsidR="002B0E75" w:rsidRPr="002B0E75" w:rsidRDefault="002B0E75" w:rsidP="002B0E75">
      <w:pPr>
        <w:spacing w:after="0" w:line="240" w:lineRule="auto"/>
        <w:ind w:left="567"/>
        <w:jc w:val="both"/>
        <w:rPr>
          <w:rFonts w:ascii="Times New Roman" w:hAnsi="Times New Roman"/>
          <w:sz w:val="24"/>
          <w:szCs w:val="24"/>
        </w:rPr>
      </w:pPr>
    </w:p>
    <w:p w14:paraId="36977ABC"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Con respecto a las situaciones jurídicas, se debe señalar que, en los casos requeridos, las respectivas contingencias se encuentran provisionadas. </w:t>
      </w:r>
    </w:p>
    <w:p w14:paraId="6C4C3FB5" w14:textId="77777777" w:rsidR="002B0E75" w:rsidRPr="002B0E75" w:rsidRDefault="002B0E75" w:rsidP="002B0E75">
      <w:pPr>
        <w:spacing w:after="0" w:line="240" w:lineRule="auto"/>
        <w:ind w:left="567"/>
        <w:jc w:val="both"/>
        <w:rPr>
          <w:rFonts w:ascii="Times New Roman" w:hAnsi="Times New Roman"/>
          <w:sz w:val="24"/>
          <w:szCs w:val="24"/>
        </w:rPr>
      </w:pPr>
    </w:p>
    <w:p w14:paraId="4434F28C"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En lo relacionado con los derechos de autor, el Icfes utiliza únicamente software o licencias adquiridos legalmente y no permite que en sus equipos se usen programas diferentes a los aprobados.</w:t>
      </w:r>
    </w:p>
    <w:p w14:paraId="3E49BF00" w14:textId="77777777" w:rsidR="002B0E75" w:rsidRPr="002B0E75" w:rsidRDefault="002B0E75" w:rsidP="002B0E75">
      <w:pPr>
        <w:spacing w:after="0" w:line="240" w:lineRule="auto"/>
        <w:ind w:left="567"/>
        <w:jc w:val="both"/>
        <w:rPr>
          <w:rFonts w:ascii="Times New Roman" w:hAnsi="Times New Roman"/>
          <w:sz w:val="24"/>
          <w:szCs w:val="24"/>
        </w:rPr>
      </w:pPr>
    </w:p>
    <w:p w14:paraId="2E312A2F" w14:textId="77777777" w:rsidR="002B0E75" w:rsidRPr="00061AC2" w:rsidRDefault="002B0E75" w:rsidP="002B0E75">
      <w:pPr>
        <w:spacing w:after="0" w:line="240" w:lineRule="auto"/>
        <w:ind w:left="567"/>
        <w:jc w:val="both"/>
        <w:rPr>
          <w:rFonts w:ascii="Times New Roman" w:hAnsi="Times New Roman"/>
          <w:b/>
          <w:bCs/>
          <w:sz w:val="24"/>
          <w:szCs w:val="24"/>
        </w:rPr>
      </w:pPr>
      <w:r w:rsidRPr="00061AC2">
        <w:rPr>
          <w:rFonts w:ascii="Times New Roman" w:hAnsi="Times New Roman"/>
          <w:b/>
          <w:bCs/>
          <w:sz w:val="24"/>
          <w:szCs w:val="24"/>
        </w:rPr>
        <w:t>Riesgo operativo</w:t>
      </w:r>
    </w:p>
    <w:p w14:paraId="2F2C15FB"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El riesgo operativo, desde el punto de vista financiero, representa la posibilidad de que se produzca una pérdida financiera potencial debido a acontecimientos inesperados en el entorno operativo de la entidad, ocasionados por fallas o deficiencias en los sistemas de información, en los controles internos, errores en el procesamiento de las operaciones, fallas administrativas, controles defectuosos, fraude o error humano, así como por la ocurrencia de acontecimientos externos imprevistos. El riesgo operativo es mitigado mediante la implementación de controles asociados a los procedimientos de la gestión financiera de la entidad. </w:t>
      </w:r>
    </w:p>
    <w:p w14:paraId="49540DE8" w14:textId="77777777" w:rsidR="002B0E75" w:rsidRPr="002B0E75" w:rsidRDefault="002B0E75" w:rsidP="002B0E75">
      <w:pPr>
        <w:spacing w:after="0" w:line="240" w:lineRule="auto"/>
        <w:ind w:left="567"/>
        <w:jc w:val="both"/>
        <w:rPr>
          <w:rFonts w:ascii="Times New Roman" w:hAnsi="Times New Roman"/>
          <w:sz w:val="24"/>
          <w:szCs w:val="24"/>
        </w:rPr>
      </w:pPr>
    </w:p>
    <w:p w14:paraId="38A66150" w14:textId="77777777" w:rsidR="002B0E75" w:rsidRPr="002B0E75"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La Gestión Integral de los Riesgos de las diferentes partes interesadas y grupos de valor, tiene como objetivo liderar la definición e implementación de la estrategia para la gestión integral de los riesgos, con el fin de lograr una adecuada protección y aseguramiento de los bienes, recursos e intereses de la entidad.</w:t>
      </w:r>
    </w:p>
    <w:p w14:paraId="61F00058" w14:textId="77777777" w:rsidR="002B0E75" w:rsidRPr="002B0E75" w:rsidRDefault="002B0E75" w:rsidP="002B0E75">
      <w:pPr>
        <w:spacing w:after="0" w:line="240" w:lineRule="auto"/>
        <w:ind w:left="567"/>
        <w:jc w:val="both"/>
        <w:rPr>
          <w:rFonts w:ascii="Times New Roman" w:hAnsi="Times New Roman"/>
          <w:sz w:val="24"/>
          <w:szCs w:val="24"/>
        </w:rPr>
      </w:pPr>
    </w:p>
    <w:p w14:paraId="025A7E2C" w14:textId="2D80009F" w:rsidR="002F6BF4" w:rsidRPr="00E2373F" w:rsidRDefault="002B0E75" w:rsidP="002B0E75">
      <w:pPr>
        <w:spacing w:after="0" w:line="240" w:lineRule="auto"/>
        <w:ind w:left="567"/>
        <w:jc w:val="both"/>
        <w:rPr>
          <w:rFonts w:ascii="Times New Roman" w:hAnsi="Times New Roman"/>
          <w:sz w:val="24"/>
          <w:szCs w:val="24"/>
        </w:rPr>
      </w:pPr>
      <w:r w:rsidRPr="002B0E75">
        <w:rPr>
          <w:rFonts w:ascii="Times New Roman" w:hAnsi="Times New Roman"/>
          <w:sz w:val="24"/>
          <w:szCs w:val="24"/>
        </w:rPr>
        <w:t xml:space="preserve">La entidad mantiene como política realizar la gestión de los riesgos que inciden sobre su actividad y su entorno, adoptando las mejores prácticas, como una forma de facilitar el cumplimiento del propósito, la estrategia, los objetivos y fines institucionales; además cuenta con un sistema de gestión de calidad (Daruma) que facilita entre otros el manejo integral de riesgos, garantizando la confidencialidad, disponibilidad y confiabilidad de la información; permitiendo de esta manera realizar el análisis, monitoreo de los mismos y planes de mejoramiento a que haya lugar; reduciendo la vulnerabilidad, y proponiendo e implementando mecanismos eficaces para el debido desarrollo de los  procesos, proyectos y contratos. Como criterios de valoración, se dispone de las tablas de valoración de las consecuencias de la materialización de los riesgos y de las tablas de probabilidad, las cuales </w:t>
      </w:r>
      <w:r w:rsidR="0005075C" w:rsidRPr="002B0E75">
        <w:rPr>
          <w:rFonts w:ascii="Times New Roman" w:hAnsi="Times New Roman"/>
          <w:sz w:val="24"/>
          <w:szCs w:val="24"/>
        </w:rPr>
        <w:t>se aplican</w:t>
      </w:r>
      <w:r w:rsidRPr="002B0E75">
        <w:rPr>
          <w:rFonts w:ascii="Times New Roman" w:hAnsi="Times New Roman"/>
          <w:sz w:val="24"/>
          <w:szCs w:val="24"/>
        </w:rPr>
        <w:t xml:space="preserve"> en los diferentes niveles de gestión definidos en la guía metodológica para la gestión integral de riesgos.</w:t>
      </w:r>
    </w:p>
    <w:p w14:paraId="64A71235" w14:textId="22A49866" w:rsidR="00BB7BD6" w:rsidRDefault="00BB7BD6" w:rsidP="00667BC9">
      <w:pPr>
        <w:spacing w:after="0" w:line="240" w:lineRule="auto"/>
        <w:jc w:val="both"/>
        <w:rPr>
          <w:rFonts w:ascii="Times New Roman" w:hAnsi="Times New Roman"/>
          <w:b/>
          <w:sz w:val="24"/>
          <w:szCs w:val="24"/>
        </w:rPr>
      </w:pPr>
    </w:p>
    <w:p w14:paraId="0B5B741D" w14:textId="77777777" w:rsidR="000421AD" w:rsidRDefault="000421AD" w:rsidP="00B013E7">
      <w:pPr>
        <w:spacing w:after="0" w:line="240" w:lineRule="auto"/>
        <w:ind w:left="567"/>
        <w:jc w:val="both"/>
        <w:rPr>
          <w:rFonts w:ascii="Times New Roman" w:hAnsi="Times New Roman"/>
          <w:b/>
          <w:sz w:val="24"/>
          <w:szCs w:val="24"/>
        </w:rPr>
      </w:pPr>
    </w:p>
    <w:p w14:paraId="7672727D" w14:textId="77777777" w:rsidR="000421AD" w:rsidRDefault="000421AD" w:rsidP="00B013E7">
      <w:pPr>
        <w:spacing w:after="0" w:line="240" w:lineRule="auto"/>
        <w:ind w:left="567"/>
        <w:jc w:val="both"/>
        <w:rPr>
          <w:rFonts w:ascii="Times New Roman" w:hAnsi="Times New Roman"/>
          <w:b/>
          <w:sz w:val="24"/>
          <w:szCs w:val="24"/>
        </w:rPr>
      </w:pPr>
    </w:p>
    <w:p w14:paraId="34B2898B" w14:textId="77777777" w:rsidR="000421AD" w:rsidRDefault="000421AD" w:rsidP="00B013E7">
      <w:pPr>
        <w:spacing w:after="0" w:line="240" w:lineRule="auto"/>
        <w:ind w:left="567"/>
        <w:jc w:val="both"/>
        <w:rPr>
          <w:rFonts w:ascii="Times New Roman" w:hAnsi="Times New Roman"/>
          <w:b/>
          <w:sz w:val="24"/>
          <w:szCs w:val="24"/>
        </w:rPr>
      </w:pPr>
    </w:p>
    <w:p w14:paraId="5A96B1C5" w14:textId="77777777" w:rsidR="000421AD" w:rsidRDefault="000421AD" w:rsidP="00B013E7">
      <w:pPr>
        <w:spacing w:after="0" w:line="240" w:lineRule="auto"/>
        <w:ind w:left="567"/>
        <w:jc w:val="both"/>
        <w:rPr>
          <w:rFonts w:ascii="Times New Roman" w:hAnsi="Times New Roman"/>
          <w:b/>
          <w:sz w:val="24"/>
          <w:szCs w:val="24"/>
        </w:rPr>
      </w:pPr>
    </w:p>
    <w:p w14:paraId="6115150F" w14:textId="405366AC" w:rsidR="00B013E7" w:rsidRPr="00B013E7" w:rsidRDefault="00B013E7" w:rsidP="00B013E7">
      <w:pPr>
        <w:spacing w:after="0" w:line="240" w:lineRule="auto"/>
        <w:ind w:left="567"/>
        <w:jc w:val="both"/>
        <w:rPr>
          <w:rFonts w:ascii="Times New Roman" w:hAnsi="Times New Roman"/>
          <w:b/>
          <w:sz w:val="24"/>
          <w:szCs w:val="24"/>
        </w:rPr>
      </w:pPr>
      <w:r w:rsidRPr="00B013E7">
        <w:rPr>
          <w:rFonts w:ascii="Times New Roman" w:hAnsi="Times New Roman"/>
          <w:b/>
          <w:sz w:val="24"/>
          <w:szCs w:val="24"/>
        </w:rPr>
        <w:t>Riesgo operativo frente al COVID - 19</w:t>
      </w:r>
    </w:p>
    <w:p w14:paraId="00D5CAED" w14:textId="00DE6B68" w:rsidR="00B013E7" w:rsidRPr="00B013E7" w:rsidRDefault="00B013E7" w:rsidP="00B013E7">
      <w:pPr>
        <w:spacing w:after="0" w:line="240" w:lineRule="auto"/>
        <w:ind w:left="567"/>
        <w:jc w:val="both"/>
        <w:rPr>
          <w:rFonts w:ascii="Times New Roman" w:hAnsi="Times New Roman"/>
          <w:bCs/>
          <w:sz w:val="24"/>
          <w:szCs w:val="24"/>
        </w:rPr>
      </w:pPr>
      <w:r w:rsidRPr="00B013E7">
        <w:rPr>
          <w:rFonts w:ascii="Times New Roman" w:hAnsi="Times New Roman"/>
          <w:bCs/>
          <w:sz w:val="24"/>
          <w:szCs w:val="24"/>
        </w:rPr>
        <w:t xml:space="preserve">El brote del COVID19 ha impactado fuertemente muchas economías locales alrededor del mundo, los negocios y las empresas se están </w:t>
      </w:r>
      <w:r w:rsidR="0070533B">
        <w:rPr>
          <w:rFonts w:ascii="Times New Roman" w:hAnsi="Times New Roman"/>
          <w:bCs/>
          <w:sz w:val="24"/>
          <w:szCs w:val="24"/>
        </w:rPr>
        <w:t>s</w:t>
      </w:r>
      <w:r w:rsidRPr="00B013E7">
        <w:rPr>
          <w:rFonts w:ascii="Times New Roman" w:hAnsi="Times New Roman"/>
          <w:bCs/>
          <w:sz w:val="24"/>
          <w:szCs w:val="24"/>
        </w:rPr>
        <w:t>iendo obligados a detener sus operaciones por períodos de tiempo largos y/o indefinidos. Las medidas adoptadas por los gobiernos para contener el virus han afectado a la actividad productiva, dando como resultado una desaceleración económica, razón por la cual las entidades necesitan considerar el impacto en sus estados financieros y los componentes que se verán afectados para poder determinar cuáles serían las revelaciones requeridas.</w:t>
      </w:r>
    </w:p>
    <w:p w14:paraId="24D69DD9" w14:textId="77777777" w:rsidR="00B013E7" w:rsidRPr="00B013E7" w:rsidRDefault="00B013E7" w:rsidP="00B013E7">
      <w:pPr>
        <w:spacing w:after="0" w:line="240" w:lineRule="auto"/>
        <w:ind w:left="567"/>
        <w:jc w:val="both"/>
        <w:rPr>
          <w:rFonts w:ascii="Times New Roman" w:hAnsi="Times New Roman"/>
          <w:bCs/>
          <w:sz w:val="24"/>
          <w:szCs w:val="24"/>
        </w:rPr>
      </w:pPr>
    </w:p>
    <w:p w14:paraId="587246B4" w14:textId="54CFCD7C" w:rsidR="00B013E7" w:rsidRPr="00B013E7" w:rsidRDefault="00B013E7" w:rsidP="00B013E7">
      <w:pPr>
        <w:spacing w:after="0" w:line="240" w:lineRule="auto"/>
        <w:ind w:left="567"/>
        <w:jc w:val="both"/>
        <w:rPr>
          <w:rFonts w:ascii="Times New Roman" w:hAnsi="Times New Roman"/>
          <w:bCs/>
          <w:sz w:val="24"/>
          <w:szCs w:val="24"/>
        </w:rPr>
      </w:pPr>
      <w:r w:rsidRPr="00B013E7">
        <w:rPr>
          <w:rFonts w:ascii="Times New Roman" w:hAnsi="Times New Roman"/>
          <w:bCs/>
          <w:sz w:val="24"/>
          <w:szCs w:val="24"/>
        </w:rPr>
        <w:t>La entidad no ha sido ajena a esta situación, viéndose afectada por el aislamiento preventivo obligatorio y ocasionando el aplazamiento de las pruebas de estado que estaban programadas desde el inicio del año 2020; teniendo en cuenta lo expuesto, se debe considerar los impactos del COVID-19, tanto en la preparación de los estados financieros anuales como en la información intermedia (mensual).</w:t>
      </w:r>
    </w:p>
    <w:p w14:paraId="330F4790" w14:textId="77777777" w:rsidR="00B013E7" w:rsidRPr="00B013E7" w:rsidRDefault="00B013E7" w:rsidP="00B013E7">
      <w:pPr>
        <w:spacing w:after="0" w:line="240" w:lineRule="auto"/>
        <w:ind w:left="567"/>
        <w:jc w:val="both"/>
        <w:rPr>
          <w:rFonts w:ascii="Times New Roman" w:hAnsi="Times New Roman"/>
          <w:bCs/>
          <w:sz w:val="24"/>
          <w:szCs w:val="24"/>
        </w:rPr>
      </w:pPr>
    </w:p>
    <w:p w14:paraId="1F774338" w14:textId="6C392B23" w:rsidR="0005075C" w:rsidRPr="00B013E7" w:rsidRDefault="00B013E7" w:rsidP="00B013E7">
      <w:pPr>
        <w:spacing w:after="0" w:line="240" w:lineRule="auto"/>
        <w:ind w:left="567"/>
        <w:jc w:val="both"/>
        <w:rPr>
          <w:rFonts w:ascii="Times New Roman" w:hAnsi="Times New Roman"/>
          <w:bCs/>
          <w:sz w:val="24"/>
          <w:szCs w:val="24"/>
        </w:rPr>
      </w:pPr>
      <w:r w:rsidRPr="00B013E7">
        <w:rPr>
          <w:rFonts w:ascii="Times New Roman" w:hAnsi="Times New Roman"/>
          <w:bCs/>
          <w:sz w:val="24"/>
          <w:szCs w:val="24"/>
        </w:rPr>
        <w:t>Las implicaciones para los estados financieros incluyen no solo el reconocimiento y medición de activos, pasivos, ingresos, costos y gastos, sino también los efectos en la presentación y/ o revelación, sobre cómo se está salvaguardando la capacidad de la entidad para afrontar la coyuntura actual y los riesgos que se vienen presentando al respecto. Las implicaciones, incluidos los efectos indirectos de una menor actividad económica, deben ser consideradas por todas las entidades, no solo aquellas en los territorios más impactados por la difusión del virus.</w:t>
      </w:r>
    </w:p>
    <w:p w14:paraId="42791067" w14:textId="77777777" w:rsidR="0005075C" w:rsidRDefault="0005075C" w:rsidP="00667BC9">
      <w:pPr>
        <w:spacing w:after="0" w:line="240" w:lineRule="auto"/>
        <w:jc w:val="both"/>
        <w:rPr>
          <w:rFonts w:ascii="Times New Roman" w:hAnsi="Times New Roman"/>
          <w:b/>
          <w:sz w:val="24"/>
          <w:szCs w:val="24"/>
        </w:rPr>
      </w:pPr>
    </w:p>
    <w:p w14:paraId="78726C3F" w14:textId="77777777" w:rsidR="00CB6A52" w:rsidRPr="00E2373F" w:rsidRDefault="00E24787" w:rsidP="00073315">
      <w:pPr>
        <w:pStyle w:val="Ttulo1"/>
      </w:pPr>
      <w:bookmarkStart w:id="18" w:name="_Toc99455305"/>
      <w:r w:rsidRPr="00E2373F">
        <w:t>NOTA 4. RESUMEN DE POLÍTICAS CONTABLES</w:t>
      </w:r>
      <w:bookmarkEnd w:id="18"/>
    </w:p>
    <w:p w14:paraId="58AF9A6E" w14:textId="77777777" w:rsidR="00BB7BD6" w:rsidRPr="00E2373F" w:rsidRDefault="00BB7BD6" w:rsidP="00667BC9">
      <w:pPr>
        <w:spacing w:after="0" w:line="240" w:lineRule="auto"/>
        <w:jc w:val="both"/>
        <w:rPr>
          <w:rFonts w:ascii="Times New Roman" w:hAnsi="Times New Roman"/>
          <w:sz w:val="24"/>
          <w:szCs w:val="24"/>
        </w:rPr>
      </w:pPr>
    </w:p>
    <w:p w14:paraId="7F3F2FE5" w14:textId="67DFA877" w:rsidR="00114F87" w:rsidRDefault="00EA5766" w:rsidP="00667BC9">
      <w:pPr>
        <w:spacing w:after="0" w:line="240" w:lineRule="auto"/>
        <w:jc w:val="both"/>
        <w:rPr>
          <w:rFonts w:ascii="Times New Roman" w:hAnsi="Times New Roman"/>
          <w:sz w:val="24"/>
          <w:szCs w:val="24"/>
        </w:rPr>
      </w:pPr>
      <w:r w:rsidRPr="00EA5766">
        <w:rPr>
          <w:rFonts w:ascii="Times New Roman" w:hAnsi="Times New Roman"/>
          <w:sz w:val="24"/>
          <w:szCs w:val="24"/>
        </w:rPr>
        <w:t>Las políticas contables establecidas a continuación han sido aplicadas consistentemente en la preparación del estado de situación financiera de apertura y de los estados financieros elaborados de acuerdo con el Marco Normativo para Entidades que no Cotizan en el Mercado de Valores, a menos que se indique lo contrario.</w:t>
      </w:r>
    </w:p>
    <w:p w14:paraId="0A4EBB1F" w14:textId="77777777" w:rsidR="00EA5766" w:rsidRPr="00E2373F" w:rsidRDefault="00EA5766" w:rsidP="00667BC9">
      <w:pPr>
        <w:spacing w:after="0" w:line="240" w:lineRule="auto"/>
        <w:jc w:val="both"/>
        <w:rPr>
          <w:rFonts w:ascii="Times New Roman" w:hAnsi="Times New Roman"/>
          <w:sz w:val="24"/>
          <w:szCs w:val="24"/>
        </w:rPr>
      </w:pPr>
    </w:p>
    <w:p w14:paraId="4302D53D" w14:textId="54985129" w:rsidR="00C42B32" w:rsidRPr="00A02BC6" w:rsidRDefault="0034048B" w:rsidP="00425DA9">
      <w:pPr>
        <w:pStyle w:val="Prrafodelista"/>
        <w:numPr>
          <w:ilvl w:val="0"/>
          <w:numId w:val="1"/>
        </w:numPr>
        <w:spacing w:after="0" w:line="240" w:lineRule="auto"/>
        <w:jc w:val="both"/>
        <w:rPr>
          <w:rFonts w:ascii="Times New Roman" w:hAnsi="Times New Roman"/>
          <w:b/>
          <w:bCs/>
          <w:sz w:val="24"/>
          <w:szCs w:val="24"/>
        </w:rPr>
      </w:pPr>
      <w:r w:rsidRPr="00A02BC6">
        <w:rPr>
          <w:rFonts w:ascii="Times New Roman" w:hAnsi="Times New Roman"/>
          <w:b/>
          <w:bCs/>
          <w:sz w:val="24"/>
          <w:szCs w:val="24"/>
        </w:rPr>
        <w:t>Efectivo y Equivalentes al Efectivo</w:t>
      </w:r>
    </w:p>
    <w:p w14:paraId="726E81E9" w14:textId="72995CAF" w:rsidR="00A02BC6" w:rsidRDefault="00A02BC6" w:rsidP="00A02BC6">
      <w:pPr>
        <w:pStyle w:val="Prrafodelista"/>
        <w:spacing w:after="0" w:line="240" w:lineRule="auto"/>
        <w:jc w:val="both"/>
        <w:rPr>
          <w:rFonts w:ascii="Times New Roman" w:hAnsi="Times New Roman"/>
          <w:sz w:val="24"/>
          <w:szCs w:val="24"/>
        </w:rPr>
      </w:pPr>
      <w:r w:rsidRPr="00A02BC6">
        <w:rPr>
          <w:rFonts w:ascii="Times New Roman" w:hAnsi="Times New Roman"/>
          <w:sz w:val="24"/>
          <w:szCs w:val="24"/>
        </w:rPr>
        <w:t>El efectivo comprende los recursos de liquidez inmediata que se registran en caja, cuentas corrientes y cuentas de ahorro. Los equivalentes al efectivo representan inversiones recuperables en un periodo máximo de 3 meses, que son fácilmente convertibles en efectivo, que se mantienen para cumplir con los compromisos de pago a corto plazo más que para propósitos de inversión y que están sujetas a un riesgo poco significativo de cambios en su valor.</w:t>
      </w:r>
    </w:p>
    <w:p w14:paraId="0085AC26" w14:textId="2329E9F9" w:rsidR="00AC6173" w:rsidRDefault="00AC6173" w:rsidP="00A02BC6">
      <w:pPr>
        <w:pStyle w:val="Prrafodelista"/>
        <w:spacing w:after="0" w:line="240" w:lineRule="auto"/>
        <w:jc w:val="both"/>
        <w:rPr>
          <w:rFonts w:ascii="Times New Roman" w:hAnsi="Times New Roman"/>
          <w:sz w:val="24"/>
          <w:szCs w:val="24"/>
        </w:rPr>
      </w:pPr>
    </w:p>
    <w:p w14:paraId="4E0BE95A" w14:textId="161FAFB6" w:rsidR="00B81F86" w:rsidRDefault="00955004" w:rsidP="00425DA9">
      <w:pPr>
        <w:pStyle w:val="Prrafodelista"/>
        <w:numPr>
          <w:ilvl w:val="0"/>
          <w:numId w:val="1"/>
        </w:numPr>
        <w:spacing w:after="0" w:line="240" w:lineRule="auto"/>
        <w:jc w:val="both"/>
        <w:rPr>
          <w:rFonts w:ascii="Times New Roman" w:hAnsi="Times New Roman"/>
          <w:b/>
          <w:bCs/>
          <w:sz w:val="24"/>
          <w:szCs w:val="24"/>
        </w:rPr>
      </w:pPr>
      <w:r w:rsidRPr="00955004">
        <w:rPr>
          <w:rFonts w:ascii="Times New Roman" w:hAnsi="Times New Roman"/>
          <w:b/>
          <w:bCs/>
          <w:sz w:val="24"/>
          <w:szCs w:val="24"/>
        </w:rPr>
        <w:t>Inversiones de administración de liquidez</w:t>
      </w:r>
    </w:p>
    <w:p w14:paraId="269242A7" w14:textId="77777777" w:rsidR="00771DD8" w:rsidRPr="00771DD8" w:rsidRDefault="00771DD8" w:rsidP="00771DD8">
      <w:pPr>
        <w:spacing w:after="0" w:line="240" w:lineRule="auto"/>
        <w:ind w:left="720"/>
        <w:jc w:val="both"/>
        <w:rPr>
          <w:rFonts w:ascii="Times New Roman" w:hAnsi="Times New Roman"/>
          <w:sz w:val="24"/>
          <w:szCs w:val="24"/>
        </w:rPr>
      </w:pPr>
      <w:r w:rsidRPr="00771DD8">
        <w:rPr>
          <w:rFonts w:ascii="Times New Roman" w:hAnsi="Times New Roman"/>
          <w:sz w:val="24"/>
          <w:szCs w:val="24"/>
        </w:rPr>
        <w:t>Representa los recursos financieros colocados en instrumentos de deuda o patrimonio de los cuales se espera obtener rendimientos provenientes de las fluctuaciones del precio o de los flujos contractuales del título.</w:t>
      </w:r>
    </w:p>
    <w:p w14:paraId="39B9AB93" w14:textId="77777777" w:rsidR="006F3F53" w:rsidRDefault="006F3F53" w:rsidP="00771DD8">
      <w:pPr>
        <w:spacing w:after="0" w:line="240" w:lineRule="auto"/>
        <w:ind w:left="720"/>
        <w:jc w:val="both"/>
        <w:rPr>
          <w:rFonts w:ascii="Times New Roman" w:hAnsi="Times New Roman"/>
          <w:sz w:val="24"/>
          <w:szCs w:val="24"/>
        </w:rPr>
      </w:pPr>
    </w:p>
    <w:p w14:paraId="346ABA03" w14:textId="77777777" w:rsidR="000421AD" w:rsidRDefault="000421AD" w:rsidP="00771DD8">
      <w:pPr>
        <w:spacing w:after="0" w:line="240" w:lineRule="auto"/>
        <w:ind w:left="720"/>
        <w:jc w:val="both"/>
        <w:rPr>
          <w:rFonts w:ascii="Times New Roman" w:hAnsi="Times New Roman"/>
          <w:sz w:val="24"/>
          <w:szCs w:val="24"/>
        </w:rPr>
      </w:pPr>
    </w:p>
    <w:p w14:paraId="2242B86F" w14:textId="77777777" w:rsidR="000421AD" w:rsidRDefault="000421AD" w:rsidP="00771DD8">
      <w:pPr>
        <w:spacing w:after="0" w:line="240" w:lineRule="auto"/>
        <w:ind w:left="720"/>
        <w:jc w:val="both"/>
        <w:rPr>
          <w:rFonts w:ascii="Times New Roman" w:hAnsi="Times New Roman"/>
          <w:sz w:val="24"/>
          <w:szCs w:val="24"/>
        </w:rPr>
      </w:pPr>
    </w:p>
    <w:p w14:paraId="4509E554" w14:textId="77777777" w:rsidR="000421AD" w:rsidRDefault="000421AD" w:rsidP="00771DD8">
      <w:pPr>
        <w:spacing w:after="0" w:line="240" w:lineRule="auto"/>
        <w:ind w:left="720"/>
        <w:jc w:val="both"/>
        <w:rPr>
          <w:rFonts w:ascii="Times New Roman" w:hAnsi="Times New Roman"/>
          <w:sz w:val="24"/>
          <w:szCs w:val="24"/>
        </w:rPr>
      </w:pPr>
    </w:p>
    <w:p w14:paraId="58A49416" w14:textId="27AF9392" w:rsidR="00955004" w:rsidRPr="00771DD8" w:rsidRDefault="00771DD8" w:rsidP="00771DD8">
      <w:pPr>
        <w:spacing w:after="0" w:line="240" w:lineRule="auto"/>
        <w:ind w:left="720"/>
        <w:jc w:val="both"/>
        <w:rPr>
          <w:rFonts w:ascii="Times New Roman" w:hAnsi="Times New Roman"/>
          <w:sz w:val="24"/>
          <w:szCs w:val="24"/>
        </w:rPr>
      </w:pPr>
      <w:r w:rsidRPr="00771DD8">
        <w:rPr>
          <w:rFonts w:ascii="Times New Roman" w:hAnsi="Times New Roman"/>
          <w:sz w:val="24"/>
          <w:szCs w:val="24"/>
        </w:rPr>
        <w:lastRenderedPageBreak/>
        <w:t>Las inversiones que se esperan mantener hasta el vencimiento se miden por su costo amortizado, el cual corresponde al valor inicialmente reconocido más el rendimiento efectivo menos los pagos de capital e intereses y cualquier disminución por deterioro del valor. Al final de cada período, la entidad evalúa si estas inversiones presentan indicios de deterioro y, de ser así, reconoce una pérdida por deterioro. Si en un período posterior el monto de la pérdida disminuye, la pérdida por deterioro anteriormente reconocida es reversada. En todo caso, se garantiza que el valor en libros final no excede el costo amortizado que se habría determinado en la fecha de reversión si no se hubiera contabilizado la pérdida por deterioro del valor.</w:t>
      </w:r>
    </w:p>
    <w:p w14:paraId="5CF22A2F" w14:textId="514933CD" w:rsidR="00955004" w:rsidRDefault="00955004" w:rsidP="00955004">
      <w:pPr>
        <w:spacing w:after="0" w:line="240" w:lineRule="auto"/>
        <w:jc w:val="both"/>
        <w:rPr>
          <w:rFonts w:ascii="Times New Roman" w:hAnsi="Times New Roman"/>
          <w:b/>
          <w:bCs/>
          <w:sz w:val="24"/>
          <w:szCs w:val="24"/>
        </w:rPr>
      </w:pPr>
    </w:p>
    <w:p w14:paraId="15746460" w14:textId="7BE9A45B" w:rsidR="0015178C" w:rsidRPr="00771DD8" w:rsidRDefault="00A02D0E" w:rsidP="00425DA9">
      <w:pPr>
        <w:pStyle w:val="Prrafodelista"/>
        <w:numPr>
          <w:ilvl w:val="0"/>
          <w:numId w:val="1"/>
        </w:numPr>
        <w:spacing w:after="0" w:line="240" w:lineRule="auto"/>
        <w:jc w:val="both"/>
        <w:rPr>
          <w:rFonts w:ascii="Times New Roman" w:hAnsi="Times New Roman"/>
          <w:b/>
          <w:bCs/>
          <w:sz w:val="24"/>
          <w:szCs w:val="24"/>
        </w:rPr>
      </w:pPr>
      <w:r w:rsidRPr="00771DD8">
        <w:rPr>
          <w:rFonts w:ascii="Times New Roman" w:hAnsi="Times New Roman"/>
          <w:b/>
          <w:bCs/>
          <w:sz w:val="24"/>
          <w:szCs w:val="24"/>
        </w:rPr>
        <w:t>Cuentas por cobrar</w:t>
      </w:r>
    </w:p>
    <w:p w14:paraId="66F83E5F" w14:textId="77777777" w:rsidR="00D36E1F" w:rsidRPr="00D36E1F" w:rsidRDefault="00D36E1F" w:rsidP="00D36E1F">
      <w:pPr>
        <w:pStyle w:val="Prrafodelista"/>
        <w:spacing w:after="0" w:line="240" w:lineRule="auto"/>
        <w:jc w:val="both"/>
        <w:rPr>
          <w:rFonts w:ascii="Times New Roman" w:hAnsi="Times New Roman"/>
          <w:sz w:val="24"/>
          <w:szCs w:val="24"/>
        </w:rPr>
      </w:pPr>
      <w:r w:rsidRPr="00D36E1F">
        <w:rPr>
          <w:rFonts w:ascii="Times New Roman" w:hAnsi="Times New Roman"/>
          <w:sz w:val="24"/>
          <w:szCs w:val="24"/>
        </w:rPr>
        <w:t xml:space="preserve">Las cuentas por cobrar registran los derechos adquiridos por la entidad, originados en la prestación de servicios asociados con la función de evaluación de la educación en sus diferentes niveles, de los cuales se espera a futuro la entrada de un flujo financiero fijo o determinable. </w:t>
      </w:r>
    </w:p>
    <w:p w14:paraId="5C7DB873" w14:textId="77777777" w:rsidR="00D36E1F" w:rsidRPr="00D36E1F" w:rsidRDefault="00D36E1F" w:rsidP="00D36E1F">
      <w:pPr>
        <w:pStyle w:val="Prrafodelista"/>
        <w:spacing w:after="0" w:line="240" w:lineRule="auto"/>
        <w:jc w:val="both"/>
        <w:rPr>
          <w:rFonts w:ascii="Times New Roman" w:hAnsi="Times New Roman"/>
          <w:sz w:val="24"/>
          <w:szCs w:val="24"/>
        </w:rPr>
      </w:pPr>
    </w:p>
    <w:p w14:paraId="232DDE8A" w14:textId="66A28347" w:rsidR="00D36E1F" w:rsidRPr="00D36E1F" w:rsidRDefault="00D36E1F" w:rsidP="00D36E1F">
      <w:pPr>
        <w:pStyle w:val="Prrafodelista"/>
        <w:spacing w:after="0" w:line="240" w:lineRule="auto"/>
        <w:jc w:val="both"/>
        <w:rPr>
          <w:rFonts w:ascii="Times New Roman" w:hAnsi="Times New Roman"/>
          <w:sz w:val="24"/>
          <w:szCs w:val="24"/>
        </w:rPr>
      </w:pPr>
      <w:r w:rsidRPr="00D36E1F">
        <w:rPr>
          <w:rFonts w:ascii="Times New Roman" w:hAnsi="Times New Roman"/>
          <w:sz w:val="24"/>
          <w:szCs w:val="24"/>
        </w:rPr>
        <w:t>Las cuentas por cobrar se clasifican en las categorías de costo</w:t>
      </w:r>
      <w:r w:rsidR="00D4469A">
        <w:rPr>
          <w:rFonts w:ascii="Times New Roman" w:hAnsi="Times New Roman"/>
          <w:sz w:val="24"/>
          <w:szCs w:val="24"/>
        </w:rPr>
        <w:t>.</w:t>
      </w:r>
    </w:p>
    <w:p w14:paraId="41C6E042" w14:textId="77777777" w:rsidR="00D4469A" w:rsidRDefault="00D4469A" w:rsidP="00D36E1F">
      <w:pPr>
        <w:pStyle w:val="Prrafodelista"/>
        <w:spacing w:after="0" w:line="240" w:lineRule="auto"/>
        <w:jc w:val="both"/>
        <w:rPr>
          <w:rFonts w:ascii="Times New Roman" w:hAnsi="Times New Roman"/>
          <w:sz w:val="24"/>
          <w:szCs w:val="24"/>
        </w:rPr>
      </w:pPr>
    </w:p>
    <w:p w14:paraId="31BF1566" w14:textId="37BAE6EE" w:rsidR="00D36E1F" w:rsidRPr="00D36E1F" w:rsidRDefault="00D36E1F" w:rsidP="00D36E1F">
      <w:pPr>
        <w:pStyle w:val="Prrafodelista"/>
        <w:spacing w:after="0" w:line="240" w:lineRule="auto"/>
        <w:jc w:val="both"/>
        <w:rPr>
          <w:rFonts w:ascii="Times New Roman" w:hAnsi="Times New Roman"/>
          <w:sz w:val="24"/>
          <w:szCs w:val="24"/>
        </w:rPr>
      </w:pPr>
      <w:r w:rsidRPr="00D36E1F">
        <w:rPr>
          <w:rFonts w:ascii="Times New Roman" w:hAnsi="Times New Roman"/>
          <w:sz w:val="24"/>
          <w:szCs w:val="24"/>
        </w:rPr>
        <w:t>Las cuentas por cobrar clasificadas en la categoría del costo se miden por el valor de la transacción.</w:t>
      </w:r>
    </w:p>
    <w:p w14:paraId="0AA4A58D" w14:textId="77777777" w:rsidR="00D36E1F" w:rsidRPr="00D36E1F" w:rsidRDefault="00D36E1F" w:rsidP="00D36E1F">
      <w:pPr>
        <w:pStyle w:val="Prrafodelista"/>
        <w:spacing w:after="0" w:line="240" w:lineRule="auto"/>
        <w:jc w:val="both"/>
        <w:rPr>
          <w:rFonts w:ascii="Times New Roman" w:hAnsi="Times New Roman"/>
          <w:sz w:val="24"/>
          <w:szCs w:val="24"/>
        </w:rPr>
      </w:pPr>
    </w:p>
    <w:p w14:paraId="696FCE3D" w14:textId="62485EC5" w:rsidR="00D36E1F" w:rsidRPr="00D36E1F" w:rsidRDefault="00D36E1F" w:rsidP="00D36E1F">
      <w:pPr>
        <w:pStyle w:val="Prrafodelista"/>
        <w:spacing w:after="0" w:line="240" w:lineRule="auto"/>
        <w:jc w:val="both"/>
        <w:rPr>
          <w:rFonts w:ascii="Times New Roman" w:hAnsi="Times New Roman"/>
          <w:sz w:val="24"/>
          <w:szCs w:val="24"/>
        </w:rPr>
      </w:pPr>
      <w:r w:rsidRPr="00D36E1F">
        <w:rPr>
          <w:rFonts w:ascii="Times New Roman" w:hAnsi="Times New Roman"/>
          <w:sz w:val="24"/>
          <w:szCs w:val="24"/>
        </w:rPr>
        <w:t>Al final de cada período, la entidad evalúa si las cuentas por cobrar presentan indicios de deterioro y, de ser así, reconoce una pérdida por deterioro. Si en un período posterior, el monto de la pérdida disminuye, la pérdida por deterioro anteriormente reconocida es reversada hasta el monto acumulado en libros.</w:t>
      </w:r>
    </w:p>
    <w:p w14:paraId="0147E6F6" w14:textId="77777777" w:rsidR="00D36E1F" w:rsidRPr="00D36E1F" w:rsidRDefault="00D36E1F" w:rsidP="00D36E1F">
      <w:pPr>
        <w:pStyle w:val="Prrafodelista"/>
        <w:spacing w:after="0" w:line="240" w:lineRule="auto"/>
        <w:jc w:val="both"/>
        <w:rPr>
          <w:rFonts w:ascii="Times New Roman" w:hAnsi="Times New Roman"/>
          <w:sz w:val="24"/>
          <w:szCs w:val="24"/>
        </w:rPr>
      </w:pPr>
    </w:p>
    <w:p w14:paraId="4D533876" w14:textId="0654A737" w:rsidR="00A02BC6" w:rsidRDefault="00D36E1F" w:rsidP="00D36E1F">
      <w:pPr>
        <w:pStyle w:val="Prrafodelista"/>
        <w:spacing w:after="0" w:line="240" w:lineRule="auto"/>
        <w:jc w:val="both"/>
        <w:rPr>
          <w:rFonts w:ascii="Times New Roman" w:hAnsi="Times New Roman"/>
          <w:sz w:val="24"/>
          <w:szCs w:val="24"/>
        </w:rPr>
      </w:pPr>
      <w:r w:rsidRPr="00D36E1F">
        <w:rPr>
          <w:rFonts w:ascii="Times New Roman" w:hAnsi="Times New Roman"/>
          <w:sz w:val="24"/>
          <w:szCs w:val="24"/>
        </w:rPr>
        <w:t>Las cuentas por cobrar se dan de baja cuando expiran los derechos o cuando se transfieren los riesgos y las ventajas inherentes a la misma.</w:t>
      </w:r>
    </w:p>
    <w:p w14:paraId="59B0A1AE" w14:textId="553B43CE" w:rsidR="00D36E1F" w:rsidRDefault="00D36E1F" w:rsidP="00D36E1F">
      <w:pPr>
        <w:pStyle w:val="Prrafodelista"/>
        <w:spacing w:after="0" w:line="240" w:lineRule="auto"/>
        <w:jc w:val="both"/>
        <w:rPr>
          <w:rFonts w:ascii="Times New Roman" w:hAnsi="Times New Roman"/>
          <w:sz w:val="24"/>
          <w:szCs w:val="24"/>
        </w:rPr>
      </w:pPr>
    </w:p>
    <w:p w14:paraId="627E6751" w14:textId="1D38138C" w:rsidR="00077300" w:rsidRDefault="00077300" w:rsidP="00425DA9">
      <w:pPr>
        <w:pStyle w:val="Prrafodelista"/>
        <w:numPr>
          <w:ilvl w:val="0"/>
          <w:numId w:val="1"/>
        </w:numPr>
        <w:spacing w:after="0" w:line="240" w:lineRule="auto"/>
        <w:jc w:val="both"/>
        <w:rPr>
          <w:rFonts w:ascii="Times New Roman" w:hAnsi="Times New Roman"/>
          <w:b/>
          <w:bCs/>
          <w:sz w:val="24"/>
          <w:szCs w:val="24"/>
        </w:rPr>
      </w:pPr>
      <w:r w:rsidRPr="00352E01">
        <w:rPr>
          <w:rFonts w:ascii="Times New Roman" w:hAnsi="Times New Roman"/>
          <w:b/>
          <w:bCs/>
          <w:sz w:val="24"/>
          <w:szCs w:val="24"/>
        </w:rPr>
        <w:t>Propiedades, planta y equipo</w:t>
      </w:r>
    </w:p>
    <w:p w14:paraId="7E6C9216" w14:textId="77777777" w:rsidR="006870DD" w:rsidRPr="006870DD" w:rsidRDefault="006870DD" w:rsidP="006870DD">
      <w:pPr>
        <w:pStyle w:val="Prrafodelista"/>
        <w:spacing w:after="0" w:line="240" w:lineRule="auto"/>
        <w:jc w:val="both"/>
        <w:rPr>
          <w:rFonts w:ascii="Times New Roman" w:hAnsi="Times New Roman"/>
          <w:sz w:val="24"/>
          <w:szCs w:val="24"/>
        </w:rPr>
      </w:pPr>
      <w:r w:rsidRPr="006870DD">
        <w:rPr>
          <w:rFonts w:ascii="Times New Roman" w:hAnsi="Times New Roman"/>
          <w:sz w:val="24"/>
          <w:szCs w:val="24"/>
        </w:rPr>
        <w:t xml:space="preserve">Las propiedades, planta y equipo se registran a su costo, menos la depreciación acumulada y las pérdidas por deterioro acumuladas, en el caso de que existan. El costo del activo incluye los desembolsos directamente atribuibles a su ubicación en el lugar y en las condiciones necesarias para que pueda operar de la forma prevista por la administración de la entidad. </w:t>
      </w:r>
    </w:p>
    <w:p w14:paraId="262D60B0" w14:textId="77777777" w:rsidR="006870DD" w:rsidRPr="006870DD" w:rsidRDefault="006870DD" w:rsidP="006870DD">
      <w:pPr>
        <w:pStyle w:val="Prrafodelista"/>
        <w:spacing w:after="0" w:line="240" w:lineRule="auto"/>
        <w:jc w:val="both"/>
        <w:rPr>
          <w:rFonts w:ascii="Times New Roman" w:hAnsi="Times New Roman"/>
          <w:sz w:val="24"/>
          <w:szCs w:val="24"/>
        </w:rPr>
      </w:pPr>
    </w:p>
    <w:p w14:paraId="35E2FBCE" w14:textId="5E07AFB2" w:rsidR="006870DD" w:rsidRPr="006870DD" w:rsidRDefault="006870DD" w:rsidP="006870DD">
      <w:pPr>
        <w:pStyle w:val="Prrafodelista"/>
        <w:spacing w:after="0" w:line="240" w:lineRule="auto"/>
        <w:jc w:val="both"/>
        <w:rPr>
          <w:rFonts w:ascii="Times New Roman" w:hAnsi="Times New Roman"/>
          <w:sz w:val="24"/>
          <w:szCs w:val="24"/>
        </w:rPr>
      </w:pPr>
      <w:r w:rsidRPr="006870DD">
        <w:rPr>
          <w:rFonts w:ascii="Times New Roman" w:hAnsi="Times New Roman"/>
          <w:sz w:val="24"/>
          <w:szCs w:val="24"/>
        </w:rPr>
        <w:t>Las adiciones y mejoras efectuadas a un elemento de propiedades, planta y equipo, que tengan la probabilidad de generar beneficios económicos futuros y cuyo costo pueda</w:t>
      </w:r>
      <w:r w:rsidR="00AB0BFF">
        <w:rPr>
          <w:rFonts w:ascii="Times New Roman" w:hAnsi="Times New Roman"/>
          <w:sz w:val="24"/>
          <w:szCs w:val="24"/>
        </w:rPr>
        <w:t xml:space="preserve"> </w:t>
      </w:r>
      <w:r w:rsidRPr="006870DD">
        <w:rPr>
          <w:rFonts w:ascii="Times New Roman" w:hAnsi="Times New Roman"/>
          <w:sz w:val="24"/>
          <w:szCs w:val="24"/>
        </w:rPr>
        <w:t xml:space="preserve">medirse con fiabilidad, se reconocen como </w:t>
      </w:r>
      <w:r w:rsidR="00E662D7">
        <w:rPr>
          <w:rFonts w:ascii="Times New Roman" w:hAnsi="Times New Roman"/>
          <w:sz w:val="24"/>
          <w:szCs w:val="24"/>
        </w:rPr>
        <w:t>mayor</w:t>
      </w:r>
      <w:r w:rsidRPr="006870DD">
        <w:rPr>
          <w:rFonts w:ascii="Times New Roman" w:hAnsi="Times New Roman"/>
          <w:sz w:val="24"/>
          <w:szCs w:val="24"/>
        </w:rPr>
        <w:t xml:space="preserve"> valor del activo y, en consecuencia, afectan el cálculo futuro de la depreciación. Por su parte, el mantenimiento y las reparaciones de las propiedades, planta y equipo se reconocen como gasto en el resultado del periodo.</w:t>
      </w:r>
    </w:p>
    <w:p w14:paraId="60A9977D" w14:textId="77777777" w:rsidR="006E6CB1" w:rsidRDefault="006E6CB1" w:rsidP="006870DD">
      <w:pPr>
        <w:pStyle w:val="Prrafodelista"/>
        <w:spacing w:after="0" w:line="240" w:lineRule="auto"/>
        <w:jc w:val="both"/>
        <w:rPr>
          <w:rFonts w:ascii="Times New Roman" w:hAnsi="Times New Roman"/>
          <w:sz w:val="24"/>
          <w:szCs w:val="24"/>
        </w:rPr>
      </w:pPr>
    </w:p>
    <w:p w14:paraId="35D1D512" w14:textId="77777777" w:rsidR="000421AD" w:rsidRDefault="000421AD" w:rsidP="006870DD">
      <w:pPr>
        <w:pStyle w:val="Prrafodelista"/>
        <w:spacing w:after="0" w:line="240" w:lineRule="auto"/>
        <w:jc w:val="both"/>
        <w:rPr>
          <w:rFonts w:ascii="Times New Roman" w:hAnsi="Times New Roman"/>
          <w:sz w:val="24"/>
          <w:szCs w:val="24"/>
        </w:rPr>
      </w:pPr>
    </w:p>
    <w:p w14:paraId="52CD1377" w14:textId="77777777" w:rsidR="000421AD" w:rsidRDefault="000421AD" w:rsidP="006870DD">
      <w:pPr>
        <w:pStyle w:val="Prrafodelista"/>
        <w:spacing w:after="0" w:line="240" w:lineRule="auto"/>
        <w:jc w:val="both"/>
        <w:rPr>
          <w:rFonts w:ascii="Times New Roman" w:hAnsi="Times New Roman"/>
          <w:sz w:val="24"/>
          <w:szCs w:val="24"/>
        </w:rPr>
      </w:pPr>
    </w:p>
    <w:p w14:paraId="1B5F3506" w14:textId="77777777" w:rsidR="000421AD" w:rsidRDefault="000421AD" w:rsidP="006870DD">
      <w:pPr>
        <w:pStyle w:val="Prrafodelista"/>
        <w:spacing w:after="0" w:line="240" w:lineRule="auto"/>
        <w:jc w:val="both"/>
        <w:rPr>
          <w:rFonts w:ascii="Times New Roman" w:hAnsi="Times New Roman"/>
          <w:sz w:val="24"/>
          <w:szCs w:val="24"/>
        </w:rPr>
      </w:pPr>
    </w:p>
    <w:p w14:paraId="46DC2EA2" w14:textId="77777777" w:rsidR="000421AD" w:rsidRDefault="000421AD" w:rsidP="006870DD">
      <w:pPr>
        <w:pStyle w:val="Prrafodelista"/>
        <w:spacing w:after="0" w:line="240" w:lineRule="auto"/>
        <w:jc w:val="both"/>
        <w:rPr>
          <w:rFonts w:ascii="Times New Roman" w:hAnsi="Times New Roman"/>
          <w:sz w:val="24"/>
          <w:szCs w:val="24"/>
        </w:rPr>
      </w:pPr>
    </w:p>
    <w:p w14:paraId="0B52A380" w14:textId="2E81DBDB" w:rsidR="00352E01" w:rsidRDefault="006870DD" w:rsidP="006870DD">
      <w:pPr>
        <w:pStyle w:val="Prrafodelista"/>
        <w:spacing w:after="0" w:line="240" w:lineRule="auto"/>
        <w:jc w:val="both"/>
        <w:rPr>
          <w:rFonts w:ascii="Times New Roman" w:hAnsi="Times New Roman"/>
          <w:sz w:val="24"/>
          <w:szCs w:val="24"/>
        </w:rPr>
      </w:pPr>
      <w:r w:rsidRPr="006870DD">
        <w:rPr>
          <w:rFonts w:ascii="Times New Roman" w:hAnsi="Times New Roman"/>
          <w:sz w:val="24"/>
          <w:szCs w:val="24"/>
        </w:rPr>
        <w:lastRenderedPageBreak/>
        <w:t>La depreciación de las propiedades, planta y equipo inicia cuando los activos están disponibles para su uso previsto, con excepción de los terrenos, los cuales no se deprecian. La depreciación es calculada linealmente durante la vida útil estimada de los activos hasta el monto de su valor residual, en el caso de que exista. Las vidas útiles estimadas oscilan entre los siguientes rangos:</w:t>
      </w:r>
    </w:p>
    <w:p w14:paraId="52326610" w14:textId="72825EA8" w:rsidR="00B46B44" w:rsidRDefault="00B46B44" w:rsidP="006870DD">
      <w:pPr>
        <w:pStyle w:val="Prrafodelista"/>
        <w:spacing w:after="0" w:line="240" w:lineRule="auto"/>
        <w:jc w:val="both"/>
        <w:rPr>
          <w:rFonts w:ascii="Times New Roman" w:hAnsi="Times New Roman"/>
          <w:sz w:val="24"/>
          <w:szCs w:val="24"/>
        </w:rPr>
      </w:pPr>
    </w:p>
    <w:tbl>
      <w:tblPr>
        <w:tblW w:w="8198" w:type="dxa"/>
        <w:tblInd w:w="850" w:type="dxa"/>
        <w:tblCellMar>
          <w:left w:w="70" w:type="dxa"/>
          <w:right w:w="70" w:type="dxa"/>
        </w:tblCellMar>
        <w:tblLook w:val="04A0" w:firstRow="1" w:lastRow="0" w:firstColumn="1" w:lastColumn="0" w:noHBand="0" w:noVBand="1"/>
      </w:tblPr>
      <w:tblGrid>
        <w:gridCol w:w="1543"/>
        <w:gridCol w:w="3350"/>
        <w:gridCol w:w="1614"/>
        <w:gridCol w:w="1691"/>
      </w:tblGrid>
      <w:tr w:rsidR="005B1357" w:rsidRPr="005B1357" w14:paraId="6FD0020E" w14:textId="77777777" w:rsidTr="00432519">
        <w:trPr>
          <w:trHeight w:val="568"/>
        </w:trPr>
        <w:tc>
          <w:tcPr>
            <w:tcW w:w="4893" w:type="dxa"/>
            <w:gridSpan w:val="2"/>
            <w:tcBorders>
              <w:top w:val="single" w:sz="4" w:space="0" w:color="A6A6A6"/>
              <w:left w:val="single" w:sz="4" w:space="0" w:color="A6A6A6"/>
              <w:bottom w:val="single" w:sz="4" w:space="0" w:color="A6A6A6"/>
              <w:right w:val="single" w:sz="4" w:space="0" w:color="A6A6A6"/>
            </w:tcBorders>
            <w:shd w:val="clear" w:color="000000" w:fill="3366CC"/>
            <w:noWrap/>
            <w:vAlign w:val="center"/>
            <w:hideMark/>
          </w:tcPr>
          <w:p w14:paraId="1543A0E4"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DESCRIPCIÓN DE LOS BIENES DE PPE</w:t>
            </w:r>
          </w:p>
        </w:tc>
        <w:tc>
          <w:tcPr>
            <w:tcW w:w="3305" w:type="dxa"/>
            <w:gridSpan w:val="2"/>
            <w:tcBorders>
              <w:top w:val="single" w:sz="4" w:space="0" w:color="A6A6A6"/>
              <w:left w:val="nil"/>
              <w:bottom w:val="single" w:sz="4" w:space="0" w:color="A6A6A6"/>
              <w:right w:val="single" w:sz="4" w:space="0" w:color="A6A6A6"/>
            </w:tcBorders>
            <w:shd w:val="clear" w:color="000000" w:fill="3366CC"/>
            <w:vAlign w:val="center"/>
            <w:hideMark/>
          </w:tcPr>
          <w:p w14:paraId="5E8001C0"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AÑOS DE VIDA ÚTIL</w:t>
            </w:r>
            <w:r w:rsidRPr="005B1357">
              <w:rPr>
                <w:rFonts w:ascii="Times New Roman" w:eastAsia="Times New Roman" w:hAnsi="Times New Roman"/>
                <w:b/>
                <w:bCs/>
                <w:color w:val="FFFFFF"/>
                <w:lang w:eastAsia="es-CO"/>
              </w:rPr>
              <w:br/>
              <w:t>(Depreciación línea recta)</w:t>
            </w:r>
          </w:p>
        </w:tc>
      </w:tr>
      <w:tr w:rsidR="005B1357" w:rsidRPr="005B1357" w14:paraId="4C7F152C" w14:textId="77777777" w:rsidTr="00432519">
        <w:trPr>
          <w:trHeight w:val="379"/>
        </w:trPr>
        <w:tc>
          <w:tcPr>
            <w:tcW w:w="1543" w:type="dxa"/>
            <w:tcBorders>
              <w:top w:val="nil"/>
              <w:left w:val="single" w:sz="4" w:space="0" w:color="A6A6A6"/>
              <w:bottom w:val="single" w:sz="4" w:space="0" w:color="A6A6A6"/>
              <w:right w:val="single" w:sz="4" w:space="0" w:color="A6A6A6"/>
            </w:tcBorders>
            <w:shd w:val="clear" w:color="000000" w:fill="3366CC"/>
            <w:noWrap/>
            <w:vAlign w:val="center"/>
            <w:hideMark/>
          </w:tcPr>
          <w:p w14:paraId="19EBD517"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TIPO</w:t>
            </w:r>
          </w:p>
        </w:tc>
        <w:tc>
          <w:tcPr>
            <w:tcW w:w="3349" w:type="dxa"/>
            <w:tcBorders>
              <w:top w:val="nil"/>
              <w:left w:val="nil"/>
              <w:bottom w:val="single" w:sz="4" w:space="0" w:color="A6A6A6"/>
              <w:right w:val="single" w:sz="4" w:space="0" w:color="A6A6A6"/>
            </w:tcBorders>
            <w:shd w:val="clear" w:color="000000" w:fill="3366CC"/>
            <w:vAlign w:val="center"/>
            <w:hideMark/>
          </w:tcPr>
          <w:p w14:paraId="075A8C88"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CONCEPTOS</w:t>
            </w:r>
          </w:p>
        </w:tc>
        <w:tc>
          <w:tcPr>
            <w:tcW w:w="1614" w:type="dxa"/>
            <w:tcBorders>
              <w:top w:val="nil"/>
              <w:left w:val="nil"/>
              <w:bottom w:val="single" w:sz="4" w:space="0" w:color="A6A6A6"/>
              <w:right w:val="single" w:sz="4" w:space="0" w:color="A6A6A6"/>
            </w:tcBorders>
            <w:shd w:val="clear" w:color="000000" w:fill="3366CC"/>
            <w:vAlign w:val="center"/>
            <w:hideMark/>
          </w:tcPr>
          <w:p w14:paraId="37CDE139"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MÍNIMO</w:t>
            </w:r>
          </w:p>
        </w:tc>
        <w:tc>
          <w:tcPr>
            <w:tcW w:w="1691" w:type="dxa"/>
            <w:tcBorders>
              <w:top w:val="nil"/>
              <w:left w:val="nil"/>
              <w:bottom w:val="single" w:sz="4" w:space="0" w:color="A6A6A6"/>
              <w:right w:val="single" w:sz="4" w:space="0" w:color="A6A6A6"/>
            </w:tcBorders>
            <w:shd w:val="clear" w:color="000000" w:fill="3366CC"/>
            <w:vAlign w:val="center"/>
            <w:hideMark/>
          </w:tcPr>
          <w:p w14:paraId="70461ACD" w14:textId="77777777" w:rsidR="005B1357" w:rsidRPr="005B1357" w:rsidRDefault="005B1357" w:rsidP="005B1357">
            <w:pPr>
              <w:spacing w:after="0" w:line="240" w:lineRule="auto"/>
              <w:jc w:val="center"/>
              <w:rPr>
                <w:rFonts w:ascii="Times New Roman" w:eastAsia="Times New Roman" w:hAnsi="Times New Roman"/>
                <w:b/>
                <w:bCs/>
                <w:color w:val="FFFFFF"/>
                <w:lang w:eastAsia="es-CO"/>
              </w:rPr>
            </w:pPr>
            <w:r w:rsidRPr="005B1357">
              <w:rPr>
                <w:rFonts w:ascii="Times New Roman" w:eastAsia="Times New Roman" w:hAnsi="Times New Roman"/>
                <w:b/>
                <w:bCs/>
                <w:color w:val="FFFFFF"/>
                <w:lang w:eastAsia="es-CO"/>
              </w:rPr>
              <w:t>MÁXIMO</w:t>
            </w:r>
          </w:p>
        </w:tc>
      </w:tr>
      <w:tr w:rsidR="005B1357" w:rsidRPr="005B1357" w14:paraId="565E8104" w14:textId="77777777" w:rsidTr="00432519">
        <w:trPr>
          <w:trHeight w:val="189"/>
        </w:trPr>
        <w:tc>
          <w:tcPr>
            <w:tcW w:w="1543"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25C05A3" w14:textId="77777777" w:rsidR="005B1357" w:rsidRPr="005B1357" w:rsidRDefault="005B1357" w:rsidP="005B1357">
            <w:pPr>
              <w:spacing w:after="0" w:line="240" w:lineRule="auto"/>
              <w:jc w:val="center"/>
              <w:rPr>
                <w:rFonts w:ascii="Times New Roman" w:eastAsia="Times New Roman" w:hAnsi="Times New Roman"/>
                <w:b/>
                <w:bCs/>
                <w:lang w:eastAsia="es-CO"/>
              </w:rPr>
            </w:pPr>
            <w:r w:rsidRPr="005B1357">
              <w:rPr>
                <w:rFonts w:ascii="Times New Roman" w:eastAsia="Times New Roman" w:hAnsi="Times New Roman"/>
                <w:b/>
                <w:bCs/>
                <w:lang w:eastAsia="es-CO"/>
              </w:rPr>
              <w:t>MUEBLES</w:t>
            </w:r>
          </w:p>
        </w:tc>
        <w:tc>
          <w:tcPr>
            <w:tcW w:w="3349" w:type="dxa"/>
            <w:tcBorders>
              <w:top w:val="nil"/>
              <w:left w:val="nil"/>
              <w:bottom w:val="single" w:sz="4" w:space="0" w:color="A6A6A6"/>
              <w:right w:val="single" w:sz="4" w:space="0" w:color="A6A6A6"/>
            </w:tcBorders>
            <w:shd w:val="clear" w:color="auto" w:fill="auto"/>
            <w:vAlign w:val="center"/>
            <w:hideMark/>
          </w:tcPr>
          <w:p w14:paraId="5F511115"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Maquinaria y equipo</w:t>
            </w:r>
          </w:p>
        </w:tc>
        <w:tc>
          <w:tcPr>
            <w:tcW w:w="1614" w:type="dxa"/>
            <w:tcBorders>
              <w:top w:val="nil"/>
              <w:left w:val="nil"/>
              <w:bottom w:val="single" w:sz="4" w:space="0" w:color="A6A6A6"/>
              <w:right w:val="single" w:sz="4" w:space="0" w:color="A6A6A6"/>
            </w:tcBorders>
            <w:shd w:val="clear" w:color="auto" w:fill="auto"/>
            <w:noWrap/>
            <w:vAlign w:val="center"/>
            <w:hideMark/>
          </w:tcPr>
          <w:p w14:paraId="44094EC9"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c>
          <w:tcPr>
            <w:tcW w:w="1691" w:type="dxa"/>
            <w:tcBorders>
              <w:top w:val="nil"/>
              <w:left w:val="nil"/>
              <w:bottom w:val="single" w:sz="4" w:space="0" w:color="A6A6A6"/>
              <w:right w:val="single" w:sz="4" w:space="0" w:color="A6A6A6"/>
            </w:tcBorders>
            <w:shd w:val="clear" w:color="auto" w:fill="auto"/>
            <w:noWrap/>
            <w:vAlign w:val="center"/>
            <w:hideMark/>
          </w:tcPr>
          <w:p w14:paraId="34204E09"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10 </w:t>
            </w:r>
          </w:p>
        </w:tc>
      </w:tr>
      <w:tr w:rsidR="005B1357" w:rsidRPr="005B1357" w14:paraId="04E7B255"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028856D1"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437733AB"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Equipos de comunicación y computación</w:t>
            </w:r>
          </w:p>
        </w:tc>
        <w:tc>
          <w:tcPr>
            <w:tcW w:w="1614" w:type="dxa"/>
            <w:tcBorders>
              <w:top w:val="nil"/>
              <w:left w:val="nil"/>
              <w:bottom w:val="single" w:sz="4" w:space="0" w:color="A6A6A6"/>
              <w:right w:val="single" w:sz="4" w:space="0" w:color="A6A6A6"/>
            </w:tcBorders>
            <w:shd w:val="clear" w:color="auto" w:fill="auto"/>
            <w:noWrap/>
            <w:vAlign w:val="center"/>
            <w:hideMark/>
          </w:tcPr>
          <w:p w14:paraId="4F05F340"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3 </w:t>
            </w:r>
          </w:p>
        </w:tc>
        <w:tc>
          <w:tcPr>
            <w:tcW w:w="1691" w:type="dxa"/>
            <w:tcBorders>
              <w:top w:val="nil"/>
              <w:left w:val="nil"/>
              <w:bottom w:val="single" w:sz="4" w:space="0" w:color="A6A6A6"/>
              <w:right w:val="single" w:sz="4" w:space="0" w:color="A6A6A6"/>
            </w:tcBorders>
            <w:shd w:val="clear" w:color="auto" w:fill="auto"/>
            <w:noWrap/>
            <w:vAlign w:val="center"/>
            <w:hideMark/>
          </w:tcPr>
          <w:p w14:paraId="3251BDB6"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r>
      <w:tr w:rsidR="005B1357" w:rsidRPr="005B1357" w14:paraId="026DBDD2"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47B117BB"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6FE84B41"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Equipos de transporte, tracción y elevación</w:t>
            </w:r>
          </w:p>
        </w:tc>
        <w:tc>
          <w:tcPr>
            <w:tcW w:w="1614" w:type="dxa"/>
            <w:tcBorders>
              <w:top w:val="nil"/>
              <w:left w:val="nil"/>
              <w:bottom w:val="single" w:sz="4" w:space="0" w:color="A6A6A6"/>
              <w:right w:val="single" w:sz="4" w:space="0" w:color="A6A6A6"/>
            </w:tcBorders>
            <w:shd w:val="clear" w:color="auto" w:fill="auto"/>
            <w:noWrap/>
            <w:vAlign w:val="center"/>
            <w:hideMark/>
          </w:tcPr>
          <w:p w14:paraId="3D9BF326"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c>
          <w:tcPr>
            <w:tcW w:w="1691" w:type="dxa"/>
            <w:tcBorders>
              <w:top w:val="nil"/>
              <w:left w:val="nil"/>
              <w:bottom w:val="single" w:sz="4" w:space="0" w:color="A6A6A6"/>
              <w:right w:val="single" w:sz="4" w:space="0" w:color="A6A6A6"/>
            </w:tcBorders>
            <w:shd w:val="clear" w:color="auto" w:fill="auto"/>
            <w:noWrap/>
            <w:vAlign w:val="center"/>
            <w:hideMark/>
          </w:tcPr>
          <w:p w14:paraId="22CBE06F"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10 </w:t>
            </w:r>
          </w:p>
        </w:tc>
      </w:tr>
      <w:tr w:rsidR="005B1357" w:rsidRPr="005B1357" w14:paraId="4DFA8307"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4717DD4E"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7991E622"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Equipo médico y científico</w:t>
            </w:r>
          </w:p>
        </w:tc>
        <w:tc>
          <w:tcPr>
            <w:tcW w:w="1614" w:type="dxa"/>
            <w:tcBorders>
              <w:top w:val="nil"/>
              <w:left w:val="nil"/>
              <w:bottom w:val="single" w:sz="4" w:space="0" w:color="A6A6A6"/>
              <w:right w:val="single" w:sz="4" w:space="0" w:color="A6A6A6"/>
            </w:tcBorders>
            <w:shd w:val="clear" w:color="auto" w:fill="auto"/>
            <w:noWrap/>
            <w:vAlign w:val="center"/>
            <w:hideMark/>
          </w:tcPr>
          <w:p w14:paraId="6D368D4D"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c>
          <w:tcPr>
            <w:tcW w:w="1691" w:type="dxa"/>
            <w:tcBorders>
              <w:top w:val="nil"/>
              <w:left w:val="nil"/>
              <w:bottom w:val="single" w:sz="4" w:space="0" w:color="A6A6A6"/>
              <w:right w:val="single" w:sz="4" w:space="0" w:color="A6A6A6"/>
            </w:tcBorders>
            <w:shd w:val="clear" w:color="auto" w:fill="auto"/>
            <w:noWrap/>
            <w:vAlign w:val="center"/>
            <w:hideMark/>
          </w:tcPr>
          <w:p w14:paraId="60D7B2FD"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10 </w:t>
            </w:r>
          </w:p>
        </w:tc>
      </w:tr>
      <w:tr w:rsidR="005B1357" w:rsidRPr="005B1357" w14:paraId="20BEC930"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1E818BB2"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6AD8F192"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Muebles, enseres y equipo de oficina</w:t>
            </w:r>
          </w:p>
        </w:tc>
        <w:tc>
          <w:tcPr>
            <w:tcW w:w="1614" w:type="dxa"/>
            <w:tcBorders>
              <w:top w:val="nil"/>
              <w:left w:val="nil"/>
              <w:bottom w:val="single" w:sz="4" w:space="0" w:color="A6A6A6"/>
              <w:right w:val="single" w:sz="4" w:space="0" w:color="A6A6A6"/>
            </w:tcBorders>
            <w:shd w:val="clear" w:color="auto" w:fill="auto"/>
            <w:noWrap/>
            <w:vAlign w:val="center"/>
            <w:hideMark/>
          </w:tcPr>
          <w:p w14:paraId="1FB859F0"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c>
          <w:tcPr>
            <w:tcW w:w="1691" w:type="dxa"/>
            <w:tcBorders>
              <w:top w:val="nil"/>
              <w:left w:val="nil"/>
              <w:bottom w:val="single" w:sz="4" w:space="0" w:color="A6A6A6"/>
              <w:right w:val="single" w:sz="4" w:space="0" w:color="A6A6A6"/>
            </w:tcBorders>
            <w:shd w:val="clear" w:color="auto" w:fill="auto"/>
            <w:noWrap/>
            <w:vAlign w:val="center"/>
            <w:hideMark/>
          </w:tcPr>
          <w:p w14:paraId="7E5F153D"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10 </w:t>
            </w:r>
          </w:p>
        </w:tc>
      </w:tr>
      <w:tr w:rsidR="005B1357" w:rsidRPr="005B1357" w14:paraId="02C2DAF2"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5238EC03"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6CC3040E"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Repuestos</w:t>
            </w:r>
          </w:p>
        </w:tc>
        <w:tc>
          <w:tcPr>
            <w:tcW w:w="1614" w:type="dxa"/>
            <w:tcBorders>
              <w:top w:val="nil"/>
              <w:left w:val="nil"/>
              <w:bottom w:val="single" w:sz="4" w:space="0" w:color="A6A6A6"/>
              <w:right w:val="single" w:sz="4" w:space="0" w:color="A6A6A6"/>
            </w:tcBorders>
            <w:shd w:val="clear" w:color="auto" w:fill="auto"/>
            <w:noWrap/>
            <w:vAlign w:val="center"/>
            <w:hideMark/>
          </w:tcPr>
          <w:p w14:paraId="107F8C8B"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2 </w:t>
            </w:r>
          </w:p>
        </w:tc>
        <w:tc>
          <w:tcPr>
            <w:tcW w:w="1691" w:type="dxa"/>
            <w:tcBorders>
              <w:top w:val="nil"/>
              <w:left w:val="nil"/>
              <w:bottom w:val="single" w:sz="4" w:space="0" w:color="A6A6A6"/>
              <w:right w:val="single" w:sz="4" w:space="0" w:color="A6A6A6"/>
            </w:tcBorders>
            <w:shd w:val="clear" w:color="auto" w:fill="auto"/>
            <w:noWrap/>
            <w:vAlign w:val="center"/>
            <w:hideMark/>
          </w:tcPr>
          <w:p w14:paraId="083F62ED"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r>
      <w:tr w:rsidR="005B1357" w:rsidRPr="005B1357" w14:paraId="3016E09E"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5461FF6C"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4E90B823"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Equipos de comedor, cocina, despensa y hotelería</w:t>
            </w:r>
          </w:p>
        </w:tc>
        <w:tc>
          <w:tcPr>
            <w:tcW w:w="1614" w:type="dxa"/>
            <w:tcBorders>
              <w:top w:val="nil"/>
              <w:left w:val="nil"/>
              <w:bottom w:val="single" w:sz="4" w:space="0" w:color="A6A6A6"/>
              <w:right w:val="single" w:sz="4" w:space="0" w:color="A6A6A6"/>
            </w:tcBorders>
            <w:shd w:val="clear" w:color="auto" w:fill="auto"/>
            <w:noWrap/>
            <w:vAlign w:val="center"/>
            <w:hideMark/>
          </w:tcPr>
          <w:p w14:paraId="20F4F1C1"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 </w:t>
            </w:r>
          </w:p>
        </w:tc>
        <w:tc>
          <w:tcPr>
            <w:tcW w:w="1691" w:type="dxa"/>
            <w:tcBorders>
              <w:top w:val="nil"/>
              <w:left w:val="nil"/>
              <w:bottom w:val="single" w:sz="4" w:space="0" w:color="A6A6A6"/>
              <w:right w:val="single" w:sz="4" w:space="0" w:color="A6A6A6"/>
            </w:tcBorders>
            <w:shd w:val="clear" w:color="auto" w:fill="auto"/>
            <w:noWrap/>
            <w:vAlign w:val="center"/>
            <w:hideMark/>
          </w:tcPr>
          <w:p w14:paraId="6FEB4730"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10 </w:t>
            </w:r>
          </w:p>
        </w:tc>
      </w:tr>
      <w:tr w:rsidR="005B1357" w:rsidRPr="005B1357" w14:paraId="1CCAE78E" w14:textId="77777777" w:rsidTr="00432519">
        <w:trPr>
          <w:trHeight w:val="189"/>
        </w:trPr>
        <w:tc>
          <w:tcPr>
            <w:tcW w:w="1543"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89E5F59" w14:textId="77777777" w:rsidR="005B1357" w:rsidRPr="005B1357" w:rsidRDefault="005B1357" w:rsidP="005B1357">
            <w:pPr>
              <w:spacing w:after="0" w:line="240" w:lineRule="auto"/>
              <w:jc w:val="center"/>
              <w:rPr>
                <w:rFonts w:ascii="Times New Roman" w:eastAsia="Times New Roman" w:hAnsi="Times New Roman"/>
                <w:b/>
                <w:bCs/>
                <w:lang w:eastAsia="es-CO"/>
              </w:rPr>
            </w:pPr>
            <w:r w:rsidRPr="005B1357">
              <w:rPr>
                <w:rFonts w:ascii="Times New Roman" w:eastAsia="Times New Roman" w:hAnsi="Times New Roman"/>
                <w:b/>
                <w:bCs/>
                <w:lang w:eastAsia="es-CO"/>
              </w:rPr>
              <w:t>INMUEBLES</w:t>
            </w:r>
          </w:p>
        </w:tc>
        <w:tc>
          <w:tcPr>
            <w:tcW w:w="3349" w:type="dxa"/>
            <w:tcBorders>
              <w:top w:val="nil"/>
              <w:left w:val="nil"/>
              <w:bottom w:val="single" w:sz="4" w:space="0" w:color="A6A6A6"/>
              <w:right w:val="single" w:sz="4" w:space="0" w:color="A6A6A6"/>
            </w:tcBorders>
            <w:shd w:val="clear" w:color="auto" w:fill="auto"/>
            <w:vAlign w:val="center"/>
            <w:hideMark/>
          </w:tcPr>
          <w:p w14:paraId="2EBC9FFE"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Terrenos</w:t>
            </w:r>
          </w:p>
        </w:tc>
        <w:tc>
          <w:tcPr>
            <w:tcW w:w="1614" w:type="dxa"/>
            <w:tcBorders>
              <w:top w:val="nil"/>
              <w:left w:val="nil"/>
              <w:bottom w:val="single" w:sz="4" w:space="0" w:color="A6A6A6"/>
              <w:right w:val="single" w:sz="4" w:space="0" w:color="A6A6A6"/>
            </w:tcBorders>
            <w:shd w:val="clear" w:color="auto" w:fill="auto"/>
            <w:noWrap/>
            <w:vAlign w:val="center"/>
            <w:hideMark/>
          </w:tcPr>
          <w:p w14:paraId="155291C4"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0 </w:t>
            </w:r>
          </w:p>
        </w:tc>
        <w:tc>
          <w:tcPr>
            <w:tcW w:w="1691" w:type="dxa"/>
            <w:tcBorders>
              <w:top w:val="nil"/>
              <w:left w:val="nil"/>
              <w:bottom w:val="single" w:sz="4" w:space="0" w:color="A6A6A6"/>
              <w:right w:val="single" w:sz="4" w:space="0" w:color="A6A6A6"/>
            </w:tcBorders>
            <w:shd w:val="clear" w:color="auto" w:fill="auto"/>
            <w:noWrap/>
            <w:vAlign w:val="center"/>
            <w:hideMark/>
          </w:tcPr>
          <w:p w14:paraId="1BAED26A"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0 </w:t>
            </w:r>
          </w:p>
        </w:tc>
      </w:tr>
      <w:tr w:rsidR="005B1357" w:rsidRPr="005B1357" w14:paraId="4B4AC6DA" w14:textId="77777777" w:rsidTr="00432519">
        <w:trPr>
          <w:trHeight w:val="189"/>
        </w:trPr>
        <w:tc>
          <w:tcPr>
            <w:tcW w:w="1543" w:type="dxa"/>
            <w:vMerge/>
            <w:tcBorders>
              <w:top w:val="nil"/>
              <w:left w:val="single" w:sz="4" w:space="0" w:color="A6A6A6"/>
              <w:bottom w:val="single" w:sz="4" w:space="0" w:color="A6A6A6"/>
              <w:right w:val="single" w:sz="4" w:space="0" w:color="A6A6A6"/>
            </w:tcBorders>
            <w:vAlign w:val="center"/>
            <w:hideMark/>
          </w:tcPr>
          <w:p w14:paraId="2F21EB28" w14:textId="77777777" w:rsidR="005B1357" w:rsidRPr="005B1357" w:rsidRDefault="005B1357" w:rsidP="005B1357">
            <w:pPr>
              <w:spacing w:after="0" w:line="240" w:lineRule="auto"/>
              <w:rPr>
                <w:rFonts w:ascii="Times New Roman" w:eastAsia="Times New Roman" w:hAnsi="Times New Roman"/>
                <w:b/>
                <w:bCs/>
                <w:lang w:eastAsia="es-CO"/>
              </w:rPr>
            </w:pPr>
          </w:p>
        </w:tc>
        <w:tc>
          <w:tcPr>
            <w:tcW w:w="3349" w:type="dxa"/>
            <w:tcBorders>
              <w:top w:val="nil"/>
              <w:left w:val="nil"/>
              <w:bottom w:val="single" w:sz="4" w:space="0" w:color="A6A6A6"/>
              <w:right w:val="single" w:sz="4" w:space="0" w:color="A6A6A6"/>
            </w:tcBorders>
            <w:shd w:val="clear" w:color="auto" w:fill="auto"/>
            <w:vAlign w:val="center"/>
            <w:hideMark/>
          </w:tcPr>
          <w:p w14:paraId="43473CB1" w14:textId="77777777" w:rsidR="005B1357" w:rsidRPr="005B1357" w:rsidRDefault="005B1357" w:rsidP="005B1357">
            <w:pPr>
              <w:spacing w:after="0" w:line="240" w:lineRule="auto"/>
              <w:rPr>
                <w:rFonts w:ascii="Times New Roman" w:eastAsia="Times New Roman" w:hAnsi="Times New Roman"/>
                <w:lang w:eastAsia="es-CO"/>
              </w:rPr>
            </w:pPr>
            <w:r w:rsidRPr="005B1357">
              <w:rPr>
                <w:rFonts w:ascii="Times New Roman" w:eastAsia="Times New Roman" w:hAnsi="Times New Roman"/>
                <w:lang w:eastAsia="es-CO"/>
              </w:rPr>
              <w:t>Edificaciones</w:t>
            </w:r>
          </w:p>
        </w:tc>
        <w:tc>
          <w:tcPr>
            <w:tcW w:w="1614" w:type="dxa"/>
            <w:tcBorders>
              <w:top w:val="nil"/>
              <w:left w:val="nil"/>
              <w:bottom w:val="single" w:sz="4" w:space="0" w:color="A6A6A6"/>
              <w:right w:val="single" w:sz="4" w:space="0" w:color="A6A6A6"/>
            </w:tcBorders>
            <w:shd w:val="clear" w:color="auto" w:fill="auto"/>
            <w:noWrap/>
            <w:vAlign w:val="center"/>
            <w:hideMark/>
          </w:tcPr>
          <w:p w14:paraId="1EF02001"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50 </w:t>
            </w:r>
          </w:p>
        </w:tc>
        <w:tc>
          <w:tcPr>
            <w:tcW w:w="1691" w:type="dxa"/>
            <w:tcBorders>
              <w:top w:val="nil"/>
              <w:left w:val="nil"/>
              <w:bottom w:val="single" w:sz="4" w:space="0" w:color="A6A6A6"/>
              <w:right w:val="single" w:sz="4" w:space="0" w:color="A6A6A6"/>
            </w:tcBorders>
            <w:shd w:val="clear" w:color="auto" w:fill="auto"/>
            <w:noWrap/>
            <w:vAlign w:val="center"/>
            <w:hideMark/>
          </w:tcPr>
          <w:p w14:paraId="7D0887B3" w14:textId="77777777" w:rsidR="005B1357" w:rsidRPr="005B1357" w:rsidRDefault="005B1357" w:rsidP="005B1357">
            <w:pPr>
              <w:spacing w:after="0" w:line="240" w:lineRule="auto"/>
              <w:jc w:val="center"/>
              <w:rPr>
                <w:rFonts w:ascii="Times New Roman" w:eastAsia="Times New Roman" w:hAnsi="Times New Roman"/>
                <w:lang w:eastAsia="es-CO"/>
              </w:rPr>
            </w:pPr>
            <w:r w:rsidRPr="005B1357">
              <w:rPr>
                <w:rFonts w:ascii="Times New Roman" w:eastAsia="Times New Roman" w:hAnsi="Times New Roman"/>
                <w:lang w:eastAsia="es-CO"/>
              </w:rPr>
              <w:t xml:space="preserve">60 </w:t>
            </w:r>
          </w:p>
        </w:tc>
      </w:tr>
    </w:tbl>
    <w:p w14:paraId="1BF9083E" w14:textId="77777777" w:rsidR="00AB0BFF" w:rsidRDefault="00AB0BFF" w:rsidP="006870DD">
      <w:pPr>
        <w:pStyle w:val="Prrafodelista"/>
        <w:spacing w:after="0" w:line="240" w:lineRule="auto"/>
        <w:jc w:val="both"/>
        <w:rPr>
          <w:rFonts w:ascii="Times New Roman" w:hAnsi="Times New Roman"/>
          <w:sz w:val="24"/>
          <w:szCs w:val="24"/>
        </w:rPr>
      </w:pPr>
    </w:p>
    <w:p w14:paraId="20B635C3" w14:textId="6C32E6A3" w:rsidR="00B46B44" w:rsidRDefault="006810A4" w:rsidP="006870DD">
      <w:pPr>
        <w:pStyle w:val="Prrafodelista"/>
        <w:spacing w:after="0" w:line="240" w:lineRule="auto"/>
        <w:jc w:val="both"/>
        <w:rPr>
          <w:rFonts w:ascii="Times New Roman" w:hAnsi="Times New Roman"/>
          <w:sz w:val="24"/>
          <w:szCs w:val="24"/>
        </w:rPr>
      </w:pPr>
      <w:r w:rsidRPr="006810A4">
        <w:rPr>
          <w:rFonts w:ascii="Times New Roman" w:hAnsi="Times New Roman"/>
          <w:sz w:val="24"/>
          <w:szCs w:val="24"/>
        </w:rPr>
        <w:t xml:space="preserve">Los valores residuales, la vida útil de los activos y el método de depreciación utilizado se revisan y ajustan, de ser necesario, al final de cada periodo contable. Se reconocen pérdidas por deterioro de valor si el valor en libros del activo es </w:t>
      </w:r>
      <w:r w:rsidR="00E662D7">
        <w:rPr>
          <w:rFonts w:ascii="Times New Roman" w:hAnsi="Times New Roman"/>
          <w:sz w:val="24"/>
          <w:szCs w:val="24"/>
        </w:rPr>
        <w:t>mayor</w:t>
      </w:r>
      <w:r w:rsidRPr="006810A4">
        <w:rPr>
          <w:rFonts w:ascii="Times New Roman" w:hAnsi="Times New Roman"/>
          <w:sz w:val="24"/>
          <w:szCs w:val="24"/>
        </w:rPr>
        <w:t xml:space="preserve"> que su valor recuperable estimado. Los elementos de propiedades, planta y equipo se dan de baja cuando son vendidos o cuando no se espera recibir beneficios económicos futuros por su uso continuado. La pérdida o ganancia originada en la baja en cuentas de un elemento de propiedades, planta y equipo se reconoce en el resultado del periodo.</w:t>
      </w:r>
    </w:p>
    <w:p w14:paraId="44717A1F" w14:textId="77777777" w:rsidR="005B1357" w:rsidRDefault="005B1357" w:rsidP="006870DD">
      <w:pPr>
        <w:pStyle w:val="Prrafodelista"/>
        <w:spacing w:after="0" w:line="240" w:lineRule="auto"/>
        <w:jc w:val="both"/>
        <w:rPr>
          <w:rFonts w:ascii="Times New Roman" w:hAnsi="Times New Roman"/>
          <w:sz w:val="24"/>
          <w:szCs w:val="24"/>
        </w:rPr>
      </w:pPr>
    </w:p>
    <w:p w14:paraId="31471070" w14:textId="631041CC" w:rsidR="00793140" w:rsidRDefault="00793140" w:rsidP="00425DA9">
      <w:pPr>
        <w:pStyle w:val="Prrafodelista"/>
        <w:numPr>
          <w:ilvl w:val="0"/>
          <w:numId w:val="1"/>
        </w:numPr>
        <w:spacing w:after="0" w:line="240" w:lineRule="auto"/>
        <w:jc w:val="both"/>
        <w:rPr>
          <w:rFonts w:ascii="Times New Roman" w:hAnsi="Times New Roman"/>
          <w:b/>
          <w:bCs/>
          <w:sz w:val="24"/>
          <w:szCs w:val="24"/>
        </w:rPr>
      </w:pPr>
      <w:r w:rsidRPr="00793140">
        <w:rPr>
          <w:rFonts w:ascii="Times New Roman" w:hAnsi="Times New Roman"/>
          <w:b/>
          <w:bCs/>
          <w:sz w:val="24"/>
          <w:szCs w:val="24"/>
        </w:rPr>
        <w:t>Propiedades de inversión</w:t>
      </w:r>
    </w:p>
    <w:p w14:paraId="61AE62BD" w14:textId="77777777" w:rsidR="00597D9F" w:rsidRPr="00597D9F" w:rsidRDefault="00597D9F" w:rsidP="00597D9F">
      <w:pPr>
        <w:pStyle w:val="Prrafodelista"/>
        <w:spacing w:after="0" w:line="240" w:lineRule="auto"/>
        <w:jc w:val="both"/>
        <w:rPr>
          <w:rFonts w:ascii="Times New Roman" w:hAnsi="Times New Roman"/>
          <w:sz w:val="24"/>
          <w:szCs w:val="24"/>
        </w:rPr>
      </w:pPr>
      <w:r w:rsidRPr="00597D9F">
        <w:rPr>
          <w:rFonts w:ascii="Times New Roman" w:hAnsi="Times New Roman"/>
          <w:sz w:val="24"/>
          <w:szCs w:val="24"/>
        </w:rPr>
        <w:t xml:space="preserve">Las propiedades de inversión corresponden a los terrenos y edificaciones que posee la entidad con el propósito de obtener rentas o plusvalías. Estos activos se registran por el costo, menos la depreciación acumulada y las pérdidas por deterioro acumuladas, en el caso de que existan. El costo del activo incluye los desembolsos necesarios para que la propiedad se encuentre en las condiciones de operación previstas por la administración de la entidad. </w:t>
      </w:r>
    </w:p>
    <w:p w14:paraId="7C662983" w14:textId="77777777" w:rsidR="000421AD" w:rsidRDefault="000421AD" w:rsidP="00597D9F">
      <w:pPr>
        <w:pStyle w:val="Prrafodelista"/>
        <w:spacing w:after="0" w:line="240" w:lineRule="auto"/>
        <w:jc w:val="both"/>
        <w:rPr>
          <w:rFonts w:ascii="Times New Roman" w:hAnsi="Times New Roman"/>
          <w:sz w:val="24"/>
          <w:szCs w:val="24"/>
        </w:rPr>
      </w:pPr>
    </w:p>
    <w:p w14:paraId="25A819BE" w14:textId="05689EC4" w:rsidR="00597D9F" w:rsidRDefault="00597D9F" w:rsidP="00597D9F">
      <w:pPr>
        <w:pStyle w:val="Prrafodelista"/>
        <w:spacing w:after="0" w:line="240" w:lineRule="auto"/>
        <w:jc w:val="both"/>
        <w:rPr>
          <w:rFonts w:ascii="Times New Roman" w:hAnsi="Times New Roman"/>
          <w:sz w:val="24"/>
          <w:szCs w:val="24"/>
        </w:rPr>
      </w:pPr>
      <w:r w:rsidRPr="00597D9F">
        <w:rPr>
          <w:rFonts w:ascii="Times New Roman" w:hAnsi="Times New Roman"/>
          <w:sz w:val="24"/>
          <w:szCs w:val="24"/>
        </w:rPr>
        <w:t>Las adiciones y mejoras efectuadas a una propiedad de inversión que tengan la probabilidad de generar beneficios económicos futuros y cuyo</w:t>
      </w:r>
      <w:r w:rsidR="00035F9D">
        <w:rPr>
          <w:rFonts w:ascii="Times New Roman" w:hAnsi="Times New Roman"/>
          <w:sz w:val="24"/>
          <w:szCs w:val="24"/>
        </w:rPr>
        <w:t>s</w:t>
      </w:r>
      <w:r w:rsidRPr="00597D9F">
        <w:rPr>
          <w:rFonts w:ascii="Times New Roman" w:hAnsi="Times New Roman"/>
          <w:sz w:val="24"/>
          <w:szCs w:val="24"/>
        </w:rPr>
        <w:t xml:space="preserve"> costo</w:t>
      </w:r>
      <w:r w:rsidR="00035F9D">
        <w:rPr>
          <w:rFonts w:ascii="Times New Roman" w:hAnsi="Times New Roman"/>
          <w:sz w:val="24"/>
          <w:szCs w:val="24"/>
        </w:rPr>
        <w:t>s</w:t>
      </w:r>
      <w:r w:rsidRPr="00597D9F">
        <w:rPr>
          <w:rFonts w:ascii="Times New Roman" w:hAnsi="Times New Roman"/>
          <w:sz w:val="24"/>
          <w:szCs w:val="24"/>
        </w:rPr>
        <w:t xml:space="preserve"> </w:t>
      </w:r>
      <w:r w:rsidR="002D49E7" w:rsidRPr="00597D9F">
        <w:rPr>
          <w:rFonts w:ascii="Times New Roman" w:hAnsi="Times New Roman"/>
          <w:sz w:val="24"/>
          <w:szCs w:val="24"/>
        </w:rPr>
        <w:t>pueda</w:t>
      </w:r>
      <w:r w:rsidR="00035F9D">
        <w:rPr>
          <w:rFonts w:ascii="Times New Roman" w:hAnsi="Times New Roman"/>
          <w:sz w:val="24"/>
          <w:szCs w:val="24"/>
        </w:rPr>
        <w:t>n</w:t>
      </w:r>
      <w:r w:rsidRPr="00597D9F">
        <w:rPr>
          <w:rFonts w:ascii="Times New Roman" w:hAnsi="Times New Roman"/>
          <w:sz w:val="24"/>
          <w:szCs w:val="24"/>
        </w:rPr>
        <w:t xml:space="preserve"> medirse con fiabilidad se reconocen como </w:t>
      </w:r>
      <w:r w:rsidR="00E662D7">
        <w:rPr>
          <w:rFonts w:ascii="Times New Roman" w:hAnsi="Times New Roman"/>
          <w:sz w:val="24"/>
          <w:szCs w:val="24"/>
        </w:rPr>
        <w:t>mayor</w:t>
      </w:r>
      <w:r w:rsidRPr="00597D9F">
        <w:rPr>
          <w:rFonts w:ascii="Times New Roman" w:hAnsi="Times New Roman"/>
          <w:sz w:val="24"/>
          <w:szCs w:val="24"/>
        </w:rPr>
        <w:t xml:space="preserve"> valor de esta y, en consecuencia, afectan el cálculo futuro de la depreciación. Por su parte, el mantenimiento y las reparaciones de las propiedades de inversión se reconocen como gasto en el resultado del periodo.</w:t>
      </w:r>
    </w:p>
    <w:p w14:paraId="199F7CA7" w14:textId="77777777" w:rsidR="00432519" w:rsidRPr="00597D9F" w:rsidRDefault="00432519" w:rsidP="00597D9F">
      <w:pPr>
        <w:pStyle w:val="Prrafodelista"/>
        <w:spacing w:after="0" w:line="240" w:lineRule="auto"/>
        <w:jc w:val="both"/>
        <w:rPr>
          <w:rFonts w:ascii="Times New Roman" w:hAnsi="Times New Roman"/>
          <w:sz w:val="24"/>
          <w:szCs w:val="24"/>
        </w:rPr>
      </w:pPr>
    </w:p>
    <w:p w14:paraId="68249C23" w14:textId="77777777" w:rsidR="00597D9F" w:rsidRPr="00597D9F" w:rsidRDefault="00597D9F" w:rsidP="00597D9F">
      <w:pPr>
        <w:pStyle w:val="Prrafodelista"/>
        <w:spacing w:after="0" w:line="240" w:lineRule="auto"/>
        <w:jc w:val="both"/>
        <w:rPr>
          <w:rFonts w:ascii="Times New Roman" w:hAnsi="Times New Roman"/>
          <w:sz w:val="24"/>
          <w:szCs w:val="24"/>
        </w:rPr>
      </w:pPr>
      <w:r w:rsidRPr="00597D9F">
        <w:rPr>
          <w:rFonts w:ascii="Times New Roman" w:hAnsi="Times New Roman"/>
          <w:sz w:val="24"/>
          <w:szCs w:val="24"/>
        </w:rPr>
        <w:t xml:space="preserve">La depreciación de las propiedades de inversión inicia cuando los activos están disponibles para su uso previsto, con excepción de los terrenos, los cuales no se deprecian. </w:t>
      </w:r>
      <w:r w:rsidRPr="00597D9F">
        <w:rPr>
          <w:rFonts w:ascii="Times New Roman" w:hAnsi="Times New Roman"/>
          <w:sz w:val="24"/>
          <w:szCs w:val="24"/>
        </w:rPr>
        <w:lastRenderedPageBreak/>
        <w:t>La depreciación de las edificaciones es calculada linealmente durante la vida útil estimada del activo. La vida útil estimada oscila entre los 20 y 60 años.</w:t>
      </w:r>
    </w:p>
    <w:p w14:paraId="5F86C97F" w14:textId="77777777" w:rsidR="00597D9F" w:rsidRPr="00597D9F" w:rsidRDefault="00597D9F" w:rsidP="00597D9F">
      <w:pPr>
        <w:pStyle w:val="Prrafodelista"/>
        <w:spacing w:after="0" w:line="240" w:lineRule="auto"/>
        <w:jc w:val="both"/>
        <w:rPr>
          <w:rFonts w:ascii="Times New Roman" w:hAnsi="Times New Roman"/>
          <w:sz w:val="24"/>
          <w:szCs w:val="24"/>
        </w:rPr>
      </w:pPr>
    </w:p>
    <w:p w14:paraId="01B90FC5" w14:textId="1448E5D2" w:rsidR="007E2219" w:rsidRDefault="00597D9F" w:rsidP="00597D9F">
      <w:pPr>
        <w:pStyle w:val="Prrafodelista"/>
        <w:spacing w:after="0" w:line="240" w:lineRule="auto"/>
        <w:jc w:val="both"/>
        <w:rPr>
          <w:rFonts w:ascii="Times New Roman" w:hAnsi="Times New Roman"/>
          <w:b/>
          <w:bCs/>
          <w:sz w:val="24"/>
          <w:szCs w:val="24"/>
        </w:rPr>
      </w:pPr>
      <w:r w:rsidRPr="00597D9F">
        <w:rPr>
          <w:rFonts w:ascii="Times New Roman" w:hAnsi="Times New Roman"/>
          <w:sz w:val="24"/>
          <w:szCs w:val="24"/>
        </w:rPr>
        <w:t xml:space="preserve">Los valores residuales, la vida útil de los activos y el método de depreciación utilizado se revisan y ajustan, de ser necesario, al final de cada periodo contable. Se reconocen pérdidas por deterioro de valor si el valor en libros del activo es </w:t>
      </w:r>
      <w:r w:rsidR="00E662D7">
        <w:rPr>
          <w:rFonts w:ascii="Times New Roman" w:hAnsi="Times New Roman"/>
          <w:sz w:val="24"/>
          <w:szCs w:val="24"/>
        </w:rPr>
        <w:t>mayor</w:t>
      </w:r>
      <w:r w:rsidRPr="00597D9F">
        <w:rPr>
          <w:rFonts w:ascii="Times New Roman" w:hAnsi="Times New Roman"/>
          <w:sz w:val="24"/>
          <w:szCs w:val="24"/>
        </w:rPr>
        <w:t xml:space="preserve"> que su valor recuperable estimado. Los elementos de propiedades de inversión se dan de baja cuando son vendidos o cuando no se espera recibir beneficios económicos futuros por su uso continuado. La pérdida o ganancia originada en la baja en cuentas de un elemento de propiedades de inversión se reconoce en el resultado del periodo</w:t>
      </w:r>
      <w:r w:rsidRPr="00597D9F">
        <w:rPr>
          <w:rFonts w:ascii="Times New Roman" w:hAnsi="Times New Roman"/>
          <w:b/>
          <w:bCs/>
          <w:sz w:val="24"/>
          <w:szCs w:val="24"/>
        </w:rPr>
        <w:t>.</w:t>
      </w:r>
    </w:p>
    <w:p w14:paraId="58B73627" w14:textId="07A5630B" w:rsidR="00422A72" w:rsidRDefault="00422A72" w:rsidP="007E2219">
      <w:pPr>
        <w:pStyle w:val="Prrafodelista"/>
        <w:spacing w:after="0" w:line="240" w:lineRule="auto"/>
        <w:jc w:val="both"/>
        <w:rPr>
          <w:rFonts w:ascii="Times New Roman" w:hAnsi="Times New Roman"/>
          <w:b/>
          <w:bCs/>
          <w:sz w:val="24"/>
          <w:szCs w:val="24"/>
        </w:rPr>
      </w:pPr>
    </w:p>
    <w:p w14:paraId="7369CCC1" w14:textId="7F38D5C1" w:rsidR="00793140" w:rsidRDefault="004C48E2" w:rsidP="00425DA9">
      <w:pPr>
        <w:pStyle w:val="Prrafodelista"/>
        <w:numPr>
          <w:ilvl w:val="0"/>
          <w:numId w:val="1"/>
        </w:numPr>
        <w:spacing w:after="0" w:line="240" w:lineRule="auto"/>
        <w:jc w:val="both"/>
        <w:rPr>
          <w:rFonts w:ascii="Times New Roman" w:hAnsi="Times New Roman"/>
          <w:b/>
          <w:bCs/>
          <w:sz w:val="24"/>
          <w:szCs w:val="24"/>
        </w:rPr>
      </w:pPr>
      <w:r w:rsidRPr="004C48E2">
        <w:rPr>
          <w:rFonts w:ascii="Times New Roman" w:hAnsi="Times New Roman"/>
          <w:b/>
          <w:bCs/>
          <w:sz w:val="24"/>
          <w:szCs w:val="24"/>
        </w:rPr>
        <w:t>Activos intangibles</w:t>
      </w:r>
    </w:p>
    <w:p w14:paraId="5478A6DC" w14:textId="77777777" w:rsidR="00036236" w:rsidRPr="00036236" w:rsidRDefault="00036236" w:rsidP="00036236">
      <w:pPr>
        <w:pStyle w:val="Prrafodelista"/>
        <w:spacing w:after="0" w:line="240" w:lineRule="auto"/>
        <w:jc w:val="both"/>
        <w:rPr>
          <w:rFonts w:ascii="Times New Roman" w:hAnsi="Times New Roman"/>
          <w:sz w:val="24"/>
          <w:szCs w:val="24"/>
        </w:rPr>
      </w:pPr>
      <w:r w:rsidRPr="00036236">
        <w:rPr>
          <w:rFonts w:ascii="Times New Roman" w:hAnsi="Times New Roman"/>
          <w:sz w:val="24"/>
          <w:szCs w:val="24"/>
        </w:rPr>
        <w:t>Los activos intangibles adquiridos se expresan al costo menos la amortización acumulada y las pérdidas por deterioro acumuladas. Si existe algún indicio de que se ha producido un cambio significativo en la tasa de amortización, vida útil o valor residual de un activo intangible, se revisa la amortización de ese activo de forma prospectiva para reflejar las nuevas expectativas.</w:t>
      </w:r>
    </w:p>
    <w:p w14:paraId="33A631AB" w14:textId="77777777" w:rsidR="00036236" w:rsidRPr="00036236" w:rsidRDefault="00036236" w:rsidP="00036236">
      <w:pPr>
        <w:pStyle w:val="Prrafodelista"/>
        <w:spacing w:after="0" w:line="240" w:lineRule="auto"/>
        <w:jc w:val="both"/>
        <w:rPr>
          <w:rFonts w:ascii="Times New Roman" w:hAnsi="Times New Roman"/>
          <w:sz w:val="24"/>
          <w:szCs w:val="24"/>
        </w:rPr>
      </w:pPr>
    </w:p>
    <w:p w14:paraId="426D3753" w14:textId="09CC4E9B" w:rsidR="004C48E2" w:rsidRPr="00036236" w:rsidRDefault="00036236" w:rsidP="00036236">
      <w:pPr>
        <w:pStyle w:val="Prrafodelista"/>
        <w:spacing w:after="0" w:line="240" w:lineRule="auto"/>
        <w:jc w:val="both"/>
        <w:rPr>
          <w:rFonts w:ascii="Times New Roman" w:hAnsi="Times New Roman"/>
          <w:sz w:val="24"/>
          <w:szCs w:val="24"/>
        </w:rPr>
      </w:pPr>
      <w:r w:rsidRPr="00036236">
        <w:rPr>
          <w:rFonts w:ascii="Times New Roman" w:hAnsi="Times New Roman"/>
          <w:sz w:val="24"/>
          <w:szCs w:val="24"/>
        </w:rPr>
        <w:t>La amortización iniciará cuando el activo intangible esté disponible para su uso, esto es, cuando se encuentre en la ubicación y en las condiciones necesarias para operar de la forma prevista por la administración de la entidad.</w:t>
      </w:r>
    </w:p>
    <w:p w14:paraId="478A7872" w14:textId="263B7665" w:rsidR="00E46D6D" w:rsidRDefault="00E46D6D" w:rsidP="004C48E2">
      <w:pPr>
        <w:pStyle w:val="Prrafodelista"/>
        <w:spacing w:after="0" w:line="240" w:lineRule="auto"/>
        <w:jc w:val="both"/>
        <w:rPr>
          <w:rFonts w:ascii="Times New Roman" w:hAnsi="Times New Roman"/>
          <w:b/>
          <w:bCs/>
          <w:sz w:val="24"/>
          <w:szCs w:val="24"/>
        </w:rPr>
      </w:pPr>
    </w:p>
    <w:p w14:paraId="37822A40" w14:textId="5066C676" w:rsidR="00E46D6D" w:rsidRDefault="00AC4643" w:rsidP="004C48E2">
      <w:pPr>
        <w:pStyle w:val="Prrafodelista"/>
        <w:spacing w:after="0" w:line="240" w:lineRule="auto"/>
        <w:jc w:val="both"/>
        <w:rPr>
          <w:rFonts w:ascii="Times New Roman" w:hAnsi="Times New Roman"/>
          <w:sz w:val="24"/>
          <w:szCs w:val="24"/>
        </w:rPr>
      </w:pPr>
      <w:r w:rsidRPr="00AC4643">
        <w:rPr>
          <w:rFonts w:ascii="Times New Roman" w:hAnsi="Times New Roman"/>
          <w:sz w:val="24"/>
          <w:szCs w:val="24"/>
        </w:rPr>
        <w:t>La vida útil es el periodo durante el cual se espera recibir los beneficios económicos asociados al mismo y corresponde a:</w:t>
      </w:r>
    </w:p>
    <w:p w14:paraId="4553C6F7" w14:textId="3A04C700" w:rsidR="00AC4643" w:rsidRDefault="00AC4643" w:rsidP="004C48E2">
      <w:pPr>
        <w:pStyle w:val="Prrafodelista"/>
        <w:spacing w:after="0" w:line="240" w:lineRule="auto"/>
        <w:jc w:val="both"/>
        <w:rPr>
          <w:rFonts w:ascii="Times New Roman" w:hAnsi="Times New Roman"/>
          <w:sz w:val="24"/>
          <w:szCs w:val="24"/>
        </w:rPr>
      </w:pPr>
    </w:p>
    <w:tbl>
      <w:tblPr>
        <w:tblStyle w:val="Tablaconcuadrcula1"/>
        <w:tblW w:w="9072" w:type="dxa"/>
        <w:tblInd w:w="595" w:type="dxa"/>
        <w:tblLook w:val="04A0" w:firstRow="1" w:lastRow="0" w:firstColumn="1" w:lastColumn="0" w:noHBand="0" w:noVBand="1"/>
      </w:tblPr>
      <w:tblGrid>
        <w:gridCol w:w="4005"/>
        <w:gridCol w:w="2799"/>
        <w:gridCol w:w="2268"/>
      </w:tblGrid>
      <w:tr w:rsidR="00605DDB" w:rsidRPr="00605DDB" w14:paraId="65F2D16B" w14:textId="77777777" w:rsidTr="00605DDB">
        <w:trPr>
          <w:trHeight w:val="346"/>
        </w:trPr>
        <w:tc>
          <w:tcPr>
            <w:tcW w:w="4005" w:type="dxa"/>
          </w:tcPr>
          <w:p w14:paraId="113F4732" w14:textId="77777777" w:rsidR="00605DDB" w:rsidRPr="00605DDB" w:rsidRDefault="00605DDB" w:rsidP="00605DDB">
            <w:pPr>
              <w:suppressAutoHyphens/>
              <w:autoSpaceDE w:val="0"/>
              <w:autoSpaceDN w:val="0"/>
              <w:adjustRightInd w:val="0"/>
              <w:spacing w:after="0" w:line="240" w:lineRule="auto"/>
              <w:jc w:val="center"/>
              <w:rPr>
                <w:rFonts w:ascii="Times New Roman" w:hAnsi="Times New Roman"/>
                <w:b/>
                <w:lang w:val="es-MX"/>
              </w:rPr>
            </w:pPr>
            <w:r w:rsidRPr="00605DDB">
              <w:rPr>
                <w:rFonts w:ascii="Times New Roman" w:hAnsi="Times New Roman"/>
                <w:b/>
                <w:lang w:val="es-MX"/>
              </w:rPr>
              <w:t>ACTIVO INTANGIBLE</w:t>
            </w:r>
          </w:p>
        </w:tc>
        <w:tc>
          <w:tcPr>
            <w:tcW w:w="2799" w:type="dxa"/>
          </w:tcPr>
          <w:p w14:paraId="439AFCCA" w14:textId="77777777" w:rsidR="00605DDB" w:rsidRPr="00605DDB" w:rsidRDefault="00605DDB" w:rsidP="00605DDB">
            <w:pPr>
              <w:suppressAutoHyphens/>
              <w:autoSpaceDE w:val="0"/>
              <w:autoSpaceDN w:val="0"/>
              <w:adjustRightInd w:val="0"/>
              <w:spacing w:after="0" w:line="240" w:lineRule="auto"/>
              <w:jc w:val="center"/>
              <w:rPr>
                <w:rFonts w:ascii="Times New Roman" w:hAnsi="Times New Roman"/>
                <w:b/>
                <w:lang w:val="es-MX"/>
              </w:rPr>
            </w:pPr>
            <w:r w:rsidRPr="00605DDB">
              <w:rPr>
                <w:rFonts w:ascii="Times New Roman" w:hAnsi="Times New Roman"/>
                <w:b/>
                <w:lang w:val="es-MX"/>
              </w:rPr>
              <w:t xml:space="preserve">AÑO DE FINALIZACIÓN DE LA INVERSIÓN </w:t>
            </w:r>
          </w:p>
        </w:tc>
        <w:tc>
          <w:tcPr>
            <w:tcW w:w="2268" w:type="dxa"/>
          </w:tcPr>
          <w:p w14:paraId="2BE0B0FE" w14:textId="77777777" w:rsidR="00605DDB" w:rsidRPr="00605DDB" w:rsidRDefault="00605DDB" w:rsidP="00605DDB">
            <w:pPr>
              <w:suppressAutoHyphens/>
              <w:autoSpaceDE w:val="0"/>
              <w:autoSpaceDN w:val="0"/>
              <w:adjustRightInd w:val="0"/>
              <w:spacing w:after="0" w:line="240" w:lineRule="auto"/>
              <w:jc w:val="center"/>
              <w:rPr>
                <w:rFonts w:ascii="Times New Roman" w:hAnsi="Times New Roman"/>
                <w:b/>
                <w:lang w:val="es-MX"/>
              </w:rPr>
            </w:pPr>
            <w:r w:rsidRPr="00605DDB">
              <w:rPr>
                <w:rFonts w:ascii="Times New Roman" w:hAnsi="Times New Roman"/>
                <w:b/>
                <w:lang w:val="es-MX"/>
              </w:rPr>
              <w:t>VIDA ÚTIL</w:t>
            </w:r>
          </w:p>
        </w:tc>
      </w:tr>
      <w:tr w:rsidR="00605DDB" w:rsidRPr="00605DDB" w14:paraId="1A987493" w14:textId="77777777" w:rsidTr="00605DDB">
        <w:trPr>
          <w:trHeight w:val="171"/>
        </w:trPr>
        <w:tc>
          <w:tcPr>
            <w:tcW w:w="4005" w:type="dxa"/>
          </w:tcPr>
          <w:p w14:paraId="2F58EB36"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Marcos de Referencia Saber 3, 5 y 9</w:t>
            </w:r>
          </w:p>
        </w:tc>
        <w:tc>
          <w:tcPr>
            <w:tcW w:w="2799" w:type="dxa"/>
          </w:tcPr>
          <w:p w14:paraId="01443B5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31A4CEA6"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12 años</w:t>
            </w:r>
          </w:p>
        </w:tc>
      </w:tr>
      <w:tr w:rsidR="00605DDB" w:rsidRPr="00605DDB" w14:paraId="7B0ECF2C" w14:textId="77777777" w:rsidTr="00605DDB">
        <w:trPr>
          <w:trHeight w:val="533"/>
        </w:trPr>
        <w:tc>
          <w:tcPr>
            <w:tcW w:w="4005" w:type="dxa"/>
          </w:tcPr>
          <w:p w14:paraId="65BCE834" w14:textId="4AAB6B3E"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Banco de ítems Saber 3,5</w:t>
            </w:r>
            <w:r>
              <w:rPr>
                <w:rFonts w:ascii="Times New Roman" w:hAnsi="Times New Roman"/>
                <w:lang w:val="es-MX"/>
              </w:rPr>
              <w:t xml:space="preserve"> </w:t>
            </w:r>
            <w:r w:rsidRPr="00605DDB">
              <w:rPr>
                <w:rFonts w:ascii="Times New Roman" w:hAnsi="Times New Roman"/>
                <w:lang w:val="es-MX"/>
              </w:rPr>
              <w:t>y 9</w:t>
            </w:r>
          </w:p>
        </w:tc>
        <w:tc>
          <w:tcPr>
            <w:tcW w:w="2799" w:type="dxa"/>
          </w:tcPr>
          <w:p w14:paraId="1B250F50"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Inversión Permanente (La inversión del año uno se amortiza en dos años)</w:t>
            </w:r>
          </w:p>
        </w:tc>
        <w:tc>
          <w:tcPr>
            <w:tcW w:w="2268" w:type="dxa"/>
          </w:tcPr>
          <w:p w14:paraId="77C927F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 años</w:t>
            </w:r>
          </w:p>
        </w:tc>
      </w:tr>
      <w:tr w:rsidR="00605DDB" w:rsidRPr="00605DDB" w14:paraId="4B9B7057" w14:textId="77777777" w:rsidTr="00605DDB">
        <w:trPr>
          <w:trHeight w:val="171"/>
        </w:trPr>
        <w:tc>
          <w:tcPr>
            <w:tcW w:w="4005" w:type="dxa"/>
          </w:tcPr>
          <w:p w14:paraId="022EBDDB"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Marcos de Referencia Saber 11</w:t>
            </w:r>
          </w:p>
        </w:tc>
        <w:tc>
          <w:tcPr>
            <w:tcW w:w="2799" w:type="dxa"/>
          </w:tcPr>
          <w:p w14:paraId="56361934"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7471C4E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12 años</w:t>
            </w:r>
          </w:p>
        </w:tc>
      </w:tr>
      <w:tr w:rsidR="00605DDB" w:rsidRPr="00605DDB" w14:paraId="76F7BD68" w14:textId="77777777" w:rsidTr="00605DDB">
        <w:trPr>
          <w:trHeight w:val="706"/>
        </w:trPr>
        <w:tc>
          <w:tcPr>
            <w:tcW w:w="4005" w:type="dxa"/>
          </w:tcPr>
          <w:p w14:paraId="253189DB"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Banco de Ítems Saber 11</w:t>
            </w:r>
          </w:p>
        </w:tc>
        <w:tc>
          <w:tcPr>
            <w:tcW w:w="2799" w:type="dxa"/>
          </w:tcPr>
          <w:p w14:paraId="78825EA3"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Inversión Permanente (La inversión del año uno se amortiza en dos años)</w:t>
            </w:r>
          </w:p>
          <w:p w14:paraId="3C758961"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p>
        </w:tc>
        <w:tc>
          <w:tcPr>
            <w:tcW w:w="2268" w:type="dxa"/>
          </w:tcPr>
          <w:p w14:paraId="042412F4"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4 aplicaciones (2 años en el esquema actual)</w:t>
            </w:r>
          </w:p>
        </w:tc>
      </w:tr>
      <w:tr w:rsidR="00605DDB" w:rsidRPr="00605DDB" w14:paraId="3F7C75CC" w14:textId="77777777" w:rsidTr="00605DDB">
        <w:trPr>
          <w:trHeight w:val="171"/>
        </w:trPr>
        <w:tc>
          <w:tcPr>
            <w:tcW w:w="4005" w:type="dxa"/>
          </w:tcPr>
          <w:p w14:paraId="192A236A"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 xml:space="preserve">Marcos de Referencia Saber Pro </w:t>
            </w:r>
          </w:p>
        </w:tc>
        <w:tc>
          <w:tcPr>
            <w:tcW w:w="2799" w:type="dxa"/>
          </w:tcPr>
          <w:p w14:paraId="009D4AE4"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2D4EB4D7"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12 años</w:t>
            </w:r>
          </w:p>
        </w:tc>
      </w:tr>
      <w:tr w:rsidR="00605DDB" w:rsidRPr="00605DDB" w14:paraId="65822AC8" w14:textId="77777777" w:rsidTr="00605DDB">
        <w:trPr>
          <w:trHeight w:val="533"/>
        </w:trPr>
        <w:tc>
          <w:tcPr>
            <w:tcW w:w="4005" w:type="dxa"/>
            <w:tcBorders>
              <w:bottom w:val="single" w:sz="4" w:space="0" w:color="auto"/>
            </w:tcBorders>
          </w:tcPr>
          <w:p w14:paraId="24BFE259"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Banco de ítems Saber Pro</w:t>
            </w:r>
          </w:p>
        </w:tc>
        <w:tc>
          <w:tcPr>
            <w:tcW w:w="2799" w:type="dxa"/>
            <w:tcBorders>
              <w:bottom w:val="single" w:sz="4" w:space="0" w:color="auto"/>
            </w:tcBorders>
          </w:tcPr>
          <w:p w14:paraId="705B3A3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Inversión Permanente (La inversión del año uno se amortiza en dos años)</w:t>
            </w:r>
          </w:p>
        </w:tc>
        <w:tc>
          <w:tcPr>
            <w:tcW w:w="2268" w:type="dxa"/>
            <w:tcBorders>
              <w:bottom w:val="single" w:sz="4" w:space="0" w:color="auto"/>
            </w:tcBorders>
          </w:tcPr>
          <w:p w14:paraId="76D50733"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4 aplicaciones (2 años en el esquema actual)</w:t>
            </w:r>
          </w:p>
        </w:tc>
      </w:tr>
      <w:tr w:rsidR="00605DDB" w:rsidRPr="00605DDB" w14:paraId="0B864D4B" w14:textId="77777777" w:rsidTr="00605DDB">
        <w:trPr>
          <w:trHeight w:val="171"/>
        </w:trPr>
        <w:tc>
          <w:tcPr>
            <w:tcW w:w="4005" w:type="dxa"/>
            <w:tcBorders>
              <w:bottom w:val="single" w:sz="4" w:space="0" w:color="auto"/>
            </w:tcBorders>
          </w:tcPr>
          <w:p w14:paraId="4DB03337"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Marcos de Referencia Genéricas</w:t>
            </w:r>
          </w:p>
        </w:tc>
        <w:tc>
          <w:tcPr>
            <w:tcW w:w="2799" w:type="dxa"/>
            <w:tcBorders>
              <w:bottom w:val="single" w:sz="4" w:space="0" w:color="auto"/>
            </w:tcBorders>
          </w:tcPr>
          <w:p w14:paraId="7BA9A8C8"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Borders>
              <w:bottom w:val="single" w:sz="4" w:space="0" w:color="auto"/>
            </w:tcBorders>
          </w:tcPr>
          <w:p w14:paraId="36BCFEC3"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12 años</w:t>
            </w:r>
          </w:p>
        </w:tc>
      </w:tr>
      <w:tr w:rsidR="00605DDB" w:rsidRPr="00605DDB" w14:paraId="63F0D6AA" w14:textId="77777777" w:rsidTr="00605DDB">
        <w:trPr>
          <w:trHeight w:val="778"/>
        </w:trPr>
        <w:tc>
          <w:tcPr>
            <w:tcW w:w="4005" w:type="dxa"/>
          </w:tcPr>
          <w:p w14:paraId="3A4FF08A"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Banco de Ítems Genéricas</w:t>
            </w:r>
          </w:p>
        </w:tc>
        <w:tc>
          <w:tcPr>
            <w:tcW w:w="2799" w:type="dxa"/>
          </w:tcPr>
          <w:p w14:paraId="27CBC41D"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Inversión Permanente (La inversión del año uno se amortiza en cuatro aplicaciones)</w:t>
            </w:r>
          </w:p>
        </w:tc>
        <w:tc>
          <w:tcPr>
            <w:tcW w:w="2268" w:type="dxa"/>
          </w:tcPr>
          <w:p w14:paraId="4F2F482D"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4 aplicaciones (2 años en el esquema actual)</w:t>
            </w:r>
          </w:p>
        </w:tc>
      </w:tr>
      <w:tr w:rsidR="00605DDB" w:rsidRPr="00605DDB" w14:paraId="77B0E895" w14:textId="77777777" w:rsidTr="00605DDB">
        <w:trPr>
          <w:trHeight w:val="171"/>
        </w:trPr>
        <w:tc>
          <w:tcPr>
            <w:tcW w:w="4005" w:type="dxa"/>
          </w:tcPr>
          <w:p w14:paraId="29681C50"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Sistema Misional</w:t>
            </w:r>
          </w:p>
        </w:tc>
        <w:tc>
          <w:tcPr>
            <w:tcW w:w="2799" w:type="dxa"/>
          </w:tcPr>
          <w:p w14:paraId="1A12F9C3"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6504795E"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5 años</w:t>
            </w:r>
          </w:p>
        </w:tc>
      </w:tr>
      <w:tr w:rsidR="00605DDB" w:rsidRPr="00605DDB" w14:paraId="74B641BD" w14:textId="77777777" w:rsidTr="00605DDB">
        <w:trPr>
          <w:trHeight w:val="346"/>
        </w:trPr>
        <w:tc>
          <w:tcPr>
            <w:tcW w:w="4005" w:type="dxa"/>
          </w:tcPr>
          <w:p w14:paraId="58D78960"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Solución Inteligencia de Negocios Bodega de Datos</w:t>
            </w:r>
          </w:p>
        </w:tc>
        <w:tc>
          <w:tcPr>
            <w:tcW w:w="2799" w:type="dxa"/>
          </w:tcPr>
          <w:p w14:paraId="5FBDFB6B"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1663260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5 años</w:t>
            </w:r>
          </w:p>
        </w:tc>
      </w:tr>
      <w:tr w:rsidR="00605DDB" w:rsidRPr="00605DDB" w14:paraId="3C09D625" w14:textId="77777777" w:rsidTr="00605DDB">
        <w:trPr>
          <w:trHeight w:val="358"/>
        </w:trPr>
        <w:tc>
          <w:tcPr>
            <w:tcW w:w="4005" w:type="dxa"/>
          </w:tcPr>
          <w:p w14:paraId="0F04EB25"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lastRenderedPageBreak/>
              <w:t>Solución Prevención Fuga de Información</w:t>
            </w:r>
          </w:p>
        </w:tc>
        <w:tc>
          <w:tcPr>
            <w:tcW w:w="2799" w:type="dxa"/>
          </w:tcPr>
          <w:p w14:paraId="4ABDAB1B"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2013</w:t>
            </w:r>
          </w:p>
        </w:tc>
        <w:tc>
          <w:tcPr>
            <w:tcW w:w="2268" w:type="dxa"/>
          </w:tcPr>
          <w:p w14:paraId="6959FB48"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5 años</w:t>
            </w:r>
          </w:p>
        </w:tc>
      </w:tr>
      <w:tr w:rsidR="00605DDB" w:rsidRPr="00605DDB" w14:paraId="76017F60" w14:textId="77777777" w:rsidTr="00605DDB">
        <w:trPr>
          <w:trHeight w:val="257"/>
        </w:trPr>
        <w:tc>
          <w:tcPr>
            <w:tcW w:w="4005" w:type="dxa"/>
          </w:tcPr>
          <w:p w14:paraId="60690CE0"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Licencias</w:t>
            </w:r>
          </w:p>
        </w:tc>
        <w:tc>
          <w:tcPr>
            <w:tcW w:w="2799" w:type="dxa"/>
          </w:tcPr>
          <w:p w14:paraId="391FD97F"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p>
        </w:tc>
        <w:tc>
          <w:tcPr>
            <w:tcW w:w="2268" w:type="dxa"/>
          </w:tcPr>
          <w:p w14:paraId="15E7BB1A" w14:textId="77777777" w:rsidR="00605DDB" w:rsidRPr="00605DDB" w:rsidRDefault="00605DDB" w:rsidP="00605DDB">
            <w:pPr>
              <w:suppressAutoHyphens/>
              <w:autoSpaceDE w:val="0"/>
              <w:autoSpaceDN w:val="0"/>
              <w:adjustRightInd w:val="0"/>
              <w:spacing w:after="0" w:line="240" w:lineRule="auto"/>
              <w:rPr>
                <w:rFonts w:ascii="Times New Roman" w:hAnsi="Times New Roman"/>
                <w:lang w:val="es-MX"/>
              </w:rPr>
            </w:pPr>
            <w:r w:rsidRPr="00605DDB">
              <w:rPr>
                <w:rFonts w:ascii="Times New Roman" w:hAnsi="Times New Roman"/>
                <w:lang w:val="es-MX"/>
              </w:rPr>
              <w:t>5 años</w:t>
            </w:r>
          </w:p>
        </w:tc>
      </w:tr>
    </w:tbl>
    <w:p w14:paraId="64531999" w14:textId="6309F12D" w:rsidR="00AC4643" w:rsidRDefault="00AC4643" w:rsidP="004C48E2">
      <w:pPr>
        <w:pStyle w:val="Prrafodelista"/>
        <w:spacing w:after="0" w:line="240" w:lineRule="auto"/>
        <w:jc w:val="both"/>
        <w:rPr>
          <w:rFonts w:ascii="Times New Roman" w:hAnsi="Times New Roman"/>
          <w:sz w:val="24"/>
          <w:szCs w:val="24"/>
        </w:rPr>
      </w:pPr>
    </w:p>
    <w:p w14:paraId="0F762916" w14:textId="31809AB1" w:rsidR="00AC4643" w:rsidRPr="00AC4643" w:rsidRDefault="006E1140" w:rsidP="004C48E2">
      <w:pPr>
        <w:pStyle w:val="Prrafodelista"/>
        <w:spacing w:after="0" w:line="240" w:lineRule="auto"/>
        <w:jc w:val="both"/>
        <w:rPr>
          <w:rFonts w:ascii="Times New Roman" w:hAnsi="Times New Roman"/>
          <w:sz w:val="24"/>
          <w:szCs w:val="24"/>
        </w:rPr>
      </w:pPr>
      <w:r w:rsidRPr="006E1140">
        <w:rPr>
          <w:rFonts w:ascii="Times New Roman" w:hAnsi="Times New Roman"/>
          <w:sz w:val="24"/>
          <w:szCs w:val="24"/>
        </w:rPr>
        <w:t>El valor residual, la vida útil y el método de amortización serán revisados, como mínimo, al término de cada periodo contable y si existe un cambio significativo en estas variables, se ajustarán para reflejar el nuevo patrón de consumo de los beneficios económicos futuros.</w:t>
      </w:r>
    </w:p>
    <w:p w14:paraId="47191A3B" w14:textId="29102AD8" w:rsidR="00E46D6D" w:rsidRPr="00AC4643" w:rsidRDefault="00E46D6D" w:rsidP="004C48E2">
      <w:pPr>
        <w:pStyle w:val="Prrafodelista"/>
        <w:spacing w:after="0" w:line="240" w:lineRule="auto"/>
        <w:jc w:val="both"/>
        <w:rPr>
          <w:rFonts w:ascii="Times New Roman" w:hAnsi="Times New Roman"/>
          <w:sz w:val="24"/>
          <w:szCs w:val="24"/>
        </w:rPr>
      </w:pPr>
    </w:p>
    <w:p w14:paraId="1E681001" w14:textId="43E79DC9" w:rsidR="00793140" w:rsidRDefault="00C10263" w:rsidP="00425DA9">
      <w:pPr>
        <w:pStyle w:val="Prrafodelista"/>
        <w:numPr>
          <w:ilvl w:val="0"/>
          <w:numId w:val="1"/>
        </w:numPr>
        <w:spacing w:after="0" w:line="240" w:lineRule="auto"/>
        <w:jc w:val="both"/>
        <w:rPr>
          <w:rFonts w:ascii="Times New Roman" w:hAnsi="Times New Roman"/>
          <w:b/>
          <w:bCs/>
          <w:sz w:val="24"/>
          <w:szCs w:val="24"/>
        </w:rPr>
      </w:pPr>
      <w:r w:rsidRPr="00C10263">
        <w:rPr>
          <w:rFonts w:ascii="Times New Roman" w:hAnsi="Times New Roman"/>
          <w:b/>
          <w:bCs/>
          <w:sz w:val="24"/>
          <w:szCs w:val="24"/>
        </w:rPr>
        <w:t>Arrendamientos</w:t>
      </w:r>
    </w:p>
    <w:p w14:paraId="4B20B395" w14:textId="77777777" w:rsidR="00BD6D27" w:rsidRPr="00BD6D27" w:rsidRDefault="00BD6D27" w:rsidP="00BD6D27">
      <w:pPr>
        <w:spacing w:after="0" w:line="240" w:lineRule="auto"/>
        <w:ind w:left="708"/>
        <w:jc w:val="both"/>
        <w:rPr>
          <w:rFonts w:ascii="Times New Roman" w:hAnsi="Times New Roman"/>
          <w:sz w:val="24"/>
          <w:szCs w:val="24"/>
        </w:rPr>
      </w:pPr>
      <w:r w:rsidRPr="00BD6D27">
        <w:rPr>
          <w:rFonts w:ascii="Times New Roman" w:hAnsi="Times New Roman"/>
          <w:sz w:val="24"/>
          <w:szCs w:val="24"/>
        </w:rPr>
        <w:t>Los arrendamientos se clasifican como financieros siempre que, en los términos del acuerdo, se transfieran al arrendatario sustancialmente todos los riesgos y ventajas inherentes a la propiedad del activo. Los demás arrendamientos se clasifican como arrendamientos operativos.</w:t>
      </w:r>
    </w:p>
    <w:p w14:paraId="40962BAD" w14:textId="77777777" w:rsidR="00BD6D27" w:rsidRPr="00BD6D27" w:rsidRDefault="00BD6D27" w:rsidP="00BD6D27">
      <w:pPr>
        <w:spacing w:after="0" w:line="240" w:lineRule="auto"/>
        <w:ind w:left="708"/>
        <w:jc w:val="both"/>
        <w:rPr>
          <w:rFonts w:ascii="Times New Roman" w:hAnsi="Times New Roman"/>
          <w:sz w:val="24"/>
          <w:szCs w:val="24"/>
        </w:rPr>
      </w:pPr>
    </w:p>
    <w:p w14:paraId="5C166FCD" w14:textId="5E58B633" w:rsidR="00BD6D27" w:rsidRPr="00BD6D27" w:rsidRDefault="00BD6D27" w:rsidP="00BD6D27">
      <w:pPr>
        <w:spacing w:after="0" w:line="240" w:lineRule="auto"/>
        <w:ind w:left="708"/>
        <w:jc w:val="both"/>
        <w:rPr>
          <w:rFonts w:ascii="Times New Roman" w:hAnsi="Times New Roman"/>
          <w:sz w:val="24"/>
          <w:szCs w:val="24"/>
        </w:rPr>
      </w:pPr>
      <w:r w:rsidRPr="00BD6D27">
        <w:rPr>
          <w:rFonts w:ascii="Times New Roman" w:hAnsi="Times New Roman"/>
          <w:sz w:val="24"/>
          <w:szCs w:val="24"/>
        </w:rPr>
        <w:t>El que un arrendamiento sea financiero u operativo dependerá de la esencia económica y naturaleza de la transacción, más que de la mera forma del contrato y su clasificación se mantendrá durante todo el plazo de este.</w:t>
      </w:r>
    </w:p>
    <w:p w14:paraId="63CBF126" w14:textId="77777777" w:rsidR="00BD6D27" w:rsidRPr="00BD6D27" w:rsidRDefault="00BD6D27" w:rsidP="00BD6D27">
      <w:pPr>
        <w:spacing w:after="0" w:line="240" w:lineRule="auto"/>
        <w:ind w:left="708"/>
        <w:jc w:val="both"/>
        <w:rPr>
          <w:rFonts w:ascii="Times New Roman" w:hAnsi="Times New Roman"/>
          <w:sz w:val="24"/>
          <w:szCs w:val="24"/>
        </w:rPr>
      </w:pPr>
    </w:p>
    <w:p w14:paraId="279CF439" w14:textId="36A5A089" w:rsidR="00C10263" w:rsidRDefault="00BD6D27" w:rsidP="00BD6D27">
      <w:pPr>
        <w:spacing w:after="0" w:line="240" w:lineRule="auto"/>
        <w:ind w:left="708"/>
        <w:jc w:val="both"/>
        <w:rPr>
          <w:rFonts w:ascii="Times New Roman" w:hAnsi="Times New Roman"/>
          <w:sz w:val="24"/>
          <w:szCs w:val="24"/>
        </w:rPr>
      </w:pPr>
      <w:r w:rsidRPr="00BD6D27">
        <w:rPr>
          <w:rFonts w:ascii="Times New Roman" w:hAnsi="Times New Roman"/>
          <w:sz w:val="24"/>
          <w:szCs w:val="24"/>
        </w:rPr>
        <w:t>En los arrendamientos operativos, las cuotas se registran como gasto o ingreso, según corresponda, de forma lineal a lo largo del plazo del arrendamiento, a menos que exista otra base sistemática más representativa sobre el patrón temporal de consumo de los beneficios económicos del activo arrendado.</w:t>
      </w:r>
    </w:p>
    <w:p w14:paraId="0B0C7F37" w14:textId="7979137B" w:rsidR="005B1357" w:rsidRDefault="005B1357" w:rsidP="00BD6D27">
      <w:pPr>
        <w:spacing w:after="0" w:line="240" w:lineRule="auto"/>
        <w:ind w:left="708"/>
        <w:jc w:val="both"/>
        <w:rPr>
          <w:rFonts w:ascii="Times New Roman" w:hAnsi="Times New Roman"/>
          <w:sz w:val="24"/>
          <w:szCs w:val="24"/>
        </w:rPr>
      </w:pPr>
    </w:p>
    <w:p w14:paraId="7C0DB84D" w14:textId="0DDB926B" w:rsidR="00C10263" w:rsidRDefault="00693960" w:rsidP="00425DA9">
      <w:pPr>
        <w:pStyle w:val="Prrafodelista"/>
        <w:numPr>
          <w:ilvl w:val="0"/>
          <w:numId w:val="1"/>
        </w:numPr>
        <w:spacing w:after="0" w:line="240" w:lineRule="auto"/>
        <w:jc w:val="both"/>
        <w:rPr>
          <w:rFonts w:ascii="Times New Roman" w:hAnsi="Times New Roman"/>
          <w:b/>
          <w:bCs/>
          <w:sz w:val="24"/>
          <w:szCs w:val="24"/>
        </w:rPr>
      </w:pPr>
      <w:r w:rsidRPr="00693960">
        <w:rPr>
          <w:rFonts w:ascii="Times New Roman" w:hAnsi="Times New Roman"/>
          <w:b/>
          <w:bCs/>
          <w:sz w:val="24"/>
          <w:szCs w:val="24"/>
        </w:rPr>
        <w:t>Deterioro del valor de los activos</w:t>
      </w:r>
    </w:p>
    <w:p w14:paraId="14AEB648" w14:textId="168FD253" w:rsidR="00DF7101" w:rsidRPr="00DF7101" w:rsidRDefault="00DF7101" w:rsidP="00DF7101">
      <w:pPr>
        <w:spacing w:after="0" w:line="240" w:lineRule="auto"/>
        <w:ind w:left="720"/>
        <w:jc w:val="both"/>
        <w:rPr>
          <w:rFonts w:ascii="Times New Roman" w:hAnsi="Times New Roman"/>
          <w:sz w:val="24"/>
          <w:szCs w:val="24"/>
        </w:rPr>
      </w:pPr>
      <w:r w:rsidRPr="00DF7101">
        <w:rPr>
          <w:rFonts w:ascii="Times New Roman" w:hAnsi="Times New Roman"/>
          <w:sz w:val="24"/>
          <w:szCs w:val="24"/>
        </w:rPr>
        <w:t xml:space="preserve">Al final de cada período, la entidad evalúa si los activos presentan indicios de deterioro y, de ser así, reconoce una pérdida por deterioro cuando el valor en libros del activo es </w:t>
      </w:r>
      <w:r w:rsidR="00E662D7">
        <w:rPr>
          <w:rFonts w:ascii="Times New Roman" w:hAnsi="Times New Roman"/>
          <w:sz w:val="24"/>
          <w:szCs w:val="24"/>
        </w:rPr>
        <w:t>mayor</w:t>
      </w:r>
      <w:r w:rsidRPr="00DF7101">
        <w:rPr>
          <w:rFonts w:ascii="Times New Roman" w:hAnsi="Times New Roman"/>
          <w:sz w:val="24"/>
          <w:szCs w:val="24"/>
        </w:rPr>
        <w:t xml:space="preserve"> al valor recuperable. Este último es el </w:t>
      </w:r>
      <w:r w:rsidR="00E662D7">
        <w:rPr>
          <w:rFonts w:ascii="Times New Roman" w:hAnsi="Times New Roman"/>
          <w:sz w:val="24"/>
          <w:szCs w:val="24"/>
        </w:rPr>
        <w:t>mayor</w:t>
      </w:r>
      <w:r w:rsidRPr="00DF7101">
        <w:rPr>
          <w:rFonts w:ascii="Times New Roman" w:hAnsi="Times New Roman"/>
          <w:sz w:val="24"/>
          <w:szCs w:val="24"/>
        </w:rPr>
        <w:t xml:space="preserve"> valor entre el valor razonable menos los costos de disposición y el valor en uso. El valor en uso es el valor presente de los flujos futuros de efectivo que se esperan obtener de un activo.</w:t>
      </w:r>
    </w:p>
    <w:p w14:paraId="0D93A693" w14:textId="77777777" w:rsidR="00DF7101" w:rsidRPr="00DF7101" w:rsidRDefault="00DF7101" w:rsidP="00DF7101">
      <w:pPr>
        <w:spacing w:after="0" w:line="240" w:lineRule="auto"/>
        <w:ind w:left="720"/>
        <w:jc w:val="both"/>
        <w:rPr>
          <w:rFonts w:ascii="Times New Roman" w:hAnsi="Times New Roman"/>
          <w:sz w:val="24"/>
          <w:szCs w:val="24"/>
        </w:rPr>
      </w:pPr>
    </w:p>
    <w:p w14:paraId="746A14A4" w14:textId="77777777" w:rsidR="00DF7101" w:rsidRPr="00DF7101" w:rsidRDefault="00DF7101" w:rsidP="00DF7101">
      <w:pPr>
        <w:spacing w:after="0" w:line="240" w:lineRule="auto"/>
        <w:ind w:left="720"/>
        <w:jc w:val="both"/>
        <w:rPr>
          <w:rFonts w:ascii="Times New Roman" w:hAnsi="Times New Roman"/>
          <w:sz w:val="24"/>
          <w:szCs w:val="24"/>
        </w:rPr>
      </w:pPr>
      <w:r w:rsidRPr="00DF7101">
        <w:rPr>
          <w:rFonts w:ascii="Times New Roman" w:hAnsi="Times New Roman"/>
          <w:sz w:val="24"/>
          <w:szCs w:val="24"/>
        </w:rPr>
        <w:t>El deterioro del valor se estima para un activo individual, salvo que no genere entradas de efectivo que sean, en buena medida, independientes de las producidas por otros activos. Si no es posible estimar el valor recuperable de un activo individualmente considerado, la entidad evalúa el deterioro de la unidad generadora de efectivo a la que pertenece el activo.</w:t>
      </w:r>
    </w:p>
    <w:p w14:paraId="24A6BD1C" w14:textId="77777777" w:rsidR="00DF7101" w:rsidRPr="00DF7101" w:rsidRDefault="00DF7101" w:rsidP="00DF7101">
      <w:pPr>
        <w:spacing w:after="0" w:line="240" w:lineRule="auto"/>
        <w:ind w:left="720"/>
        <w:jc w:val="both"/>
        <w:rPr>
          <w:rFonts w:ascii="Times New Roman" w:hAnsi="Times New Roman"/>
          <w:sz w:val="24"/>
          <w:szCs w:val="24"/>
        </w:rPr>
      </w:pPr>
    </w:p>
    <w:p w14:paraId="17BFDB87" w14:textId="64D3F2FF" w:rsidR="0033345C" w:rsidRDefault="00DF7101" w:rsidP="0033345C">
      <w:pPr>
        <w:spacing w:after="0" w:line="240" w:lineRule="auto"/>
        <w:ind w:left="720"/>
        <w:jc w:val="both"/>
        <w:rPr>
          <w:rFonts w:ascii="Times New Roman" w:hAnsi="Times New Roman"/>
          <w:b/>
          <w:bCs/>
          <w:sz w:val="24"/>
          <w:szCs w:val="24"/>
        </w:rPr>
      </w:pPr>
      <w:r w:rsidRPr="00DF7101">
        <w:rPr>
          <w:rFonts w:ascii="Times New Roman" w:hAnsi="Times New Roman"/>
          <w:sz w:val="24"/>
          <w:szCs w:val="24"/>
        </w:rPr>
        <w:t>Si en un período posterior, el monto de la pérdida disminuye, la pérdida por deterioro anteriormente reconocida es reversada, siempre que el valor en libros del activo, después de la reversión de una pérdida por deterioro del valor, no exceda al valor en libros que tendría el activo si no se le hubiera reconocido dicha pérdida.</w:t>
      </w:r>
    </w:p>
    <w:p w14:paraId="7A61AE5A" w14:textId="77777777" w:rsidR="000421AD" w:rsidRDefault="000421AD" w:rsidP="00693960">
      <w:pPr>
        <w:spacing w:after="0" w:line="240" w:lineRule="auto"/>
        <w:jc w:val="both"/>
        <w:rPr>
          <w:rFonts w:ascii="Times New Roman" w:hAnsi="Times New Roman"/>
          <w:b/>
          <w:bCs/>
          <w:sz w:val="24"/>
          <w:szCs w:val="24"/>
        </w:rPr>
      </w:pPr>
    </w:p>
    <w:p w14:paraId="7A28138F" w14:textId="0FFC0DA6" w:rsidR="00793140" w:rsidRDefault="00B23E98" w:rsidP="00425DA9">
      <w:pPr>
        <w:pStyle w:val="Prrafodelista"/>
        <w:numPr>
          <w:ilvl w:val="0"/>
          <w:numId w:val="1"/>
        </w:numPr>
        <w:spacing w:after="0" w:line="240" w:lineRule="auto"/>
        <w:jc w:val="both"/>
        <w:rPr>
          <w:rFonts w:ascii="Times New Roman" w:hAnsi="Times New Roman"/>
          <w:b/>
          <w:bCs/>
          <w:sz w:val="24"/>
          <w:szCs w:val="24"/>
        </w:rPr>
      </w:pPr>
      <w:r w:rsidRPr="00B23E98">
        <w:rPr>
          <w:rFonts w:ascii="Times New Roman" w:hAnsi="Times New Roman"/>
          <w:b/>
          <w:bCs/>
          <w:sz w:val="24"/>
          <w:szCs w:val="24"/>
        </w:rPr>
        <w:t>Periodicidad en la comprobación del deterioro de valor</w:t>
      </w:r>
    </w:p>
    <w:p w14:paraId="53A44DD4" w14:textId="47BA3EEC" w:rsidR="00B23E98" w:rsidRPr="00C56629" w:rsidRDefault="00C56629" w:rsidP="00B23E98">
      <w:pPr>
        <w:pStyle w:val="Prrafodelista"/>
        <w:spacing w:after="0" w:line="240" w:lineRule="auto"/>
        <w:jc w:val="both"/>
        <w:rPr>
          <w:rFonts w:ascii="Times New Roman" w:hAnsi="Times New Roman"/>
          <w:sz w:val="24"/>
          <w:szCs w:val="24"/>
        </w:rPr>
      </w:pPr>
      <w:r w:rsidRPr="00C56629">
        <w:rPr>
          <w:rFonts w:ascii="Times New Roman" w:hAnsi="Times New Roman"/>
          <w:sz w:val="24"/>
          <w:szCs w:val="24"/>
        </w:rPr>
        <w:t>Como mínimo al final del periodo contable, el Icfes evaluar</w:t>
      </w:r>
      <w:r w:rsidR="00C516A5">
        <w:rPr>
          <w:rFonts w:ascii="Times New Roman" w:hAnsi="Times New Roman"/>
          <w:sz w:val="24"/>
          <w:szCs w:val="24"/>
        </w:rPr>
        <w:t>á</w:t>
      </w:r>
      <w:r w:rsidRPr="00C56629">
        <w:rPr>
          <w:rFonts w:ascii="Times New Roman" w:hAnsi="Times New Roman"/>
          <w:sz w:val="24"/>
          <w:szCs w:val="24"/>
        </w:rPr>
        <w:t xml:space="preserve"> si existen indicios de deterioro del valor de sus activos. Si se presenta algún indicio se estimará el valor recuperable del activo para comprobar si efectivamente se encuentra deteriorado, en caso contrario, no estará obligada a realizar una estimación del valor recuperable.</w:t>
      </w:r>
    </w:p>
    <w:p w14:paraId="450881DF" w14:textId="77777777" w:rsidR="00BA60EB" w:rsidRDefault="00BA60EB" w:rsidP="00BA60EB">
      <w:pPr>
        <w:pStyle w:val="Prrafodelista"/>
        <w:spacing w:after="0" w:line="240" w:lineRule="auto"/>
        <w:jc w:val="both"/>
        <w:rPr>
          <w:rFonts w:ascii="Times New Roman" w:hAnsi="Times New Roman"/>
          <w:sz w:val="24"/>
          <w:szCs w:val="24"/>
        </w:rPr>
      </w:pPr>
    </w:p>
    <w:p w14:paraId="26017AE9" w14:textId="726B1A94" w:rsidR="00A02D0E" w:rsidRDefault="00A02D0E" w:rsidP="00425DA9">
      <w:pPr>
        <w:pStyle w:val="Prrafodelista"/>
        <w:numPr>
          <w:ilvl w:val="0"/>
          <w:numId w:val="1"/>
        </w:numPr>
        <w:spacing w:after="0" w:line="240" w:lineRule="auto"/>
        <w:jc w:val="both"/>
        <w:rPr>
          <w:rFonts w:ascii="Times New Roman" w:hAnsi="Times New Roman"/>
          <w:b/>
          <w:bCs/>
          <w:sz w:val="24"/>
          <w:szCs w:val="24"/>
        </w:rPr>
      </w:pPr>
      <w:r w:rsidRPr="00BA60EB">
        <w:rPr>
          <w:rFonts w:ascii="Times New Roman" w:hAnsi="Times New Roman"/>
          <w:b/>
          <w:bCs/>
          <w:sz w:val="24"/>
          <w:szCs w:val="24"/>
        </w:rPr>
        <w:lastRenderedPageBreak/>
        <w:t>Cuentas por pagar</w:t>
      </w:r>
    </w:p>
    <w:p w14:paraId="75375F8E" w14:textId="4AA16AC7" w:rsidR="00A46077" w:rsidRPr="00A46077" w:rsidRDefault="00A46077" w:rsidP="00A46077">
      <w:pPr>
        <w:spacing w:after="0" w:line="240" w:lineRule="auto"/>
        <w:ind w:left="720"/>
        <w:jc w:val="both"/>
        <w:rPr>
          <w:rFonts w:ascii="Times New Roman" w:hAnsi="Times New Roman"/>
          <w:sz w:val="24"/>
          <w:szCs w:val="24"/>
        </w:rPr>
      </w:pPr>
      <w:r w:rsidRPr="00A46077">
        <w:rPr>
          <w:rFonts w:ascii="Times New Roman" w:hAnsi="Times New Roman"/>
          <w:sz w:val="24"/>
          <w:szCs w:val="24"/>
        </w:rPr>
        <w:t>Las cuentas por pagar registran las obligaciones adquiridas por la entidad con terceros, originadas en el desarrollo de sus actividades y de las cuales se espera a futuro, la salida de un flujo financiero fijo o determinable. Las cuentas por pagar se clasifican en la categoría de costo.</w:t>
      </w:r>
    </w:p>
    <w:p w14:paraId="6859B38F" w14:textId="77777777" w:rsidR="00A46077" w:rsidRPr="00A46077" w:rsidRDefault="00A46077" w:rsidP="00A46077">
      <w:pPr>
        <w:spacing w:after="0" w:line="240" w:lineRule="auto"/>
        <w:ind w:left="720"/>
        <w:jc w:val="both"/>
        <w:rPr>
          <w:rFonts w:ascii="Times New Roman" w:hAnsi="Times New Roman"/>
          <w:sz w:val="24"/>
          <w:szCs w:val="24"/>
        </w:rPr>
      </w:pPr>
    </w:p>
    <w:p w14:paraId="544A6138" w14:textId="285366E5" w:rsidR="00A46077" w:rsidRPr="00A46077" w:rsidRDefault="00A46077" w:rsidP="00A46077">
      <w:pPr>
        <w:spacing w:after="0" w:line="240" w:lineRule="auto"/>
        <w:ind w:left="720"/>
        <w:jc w:val="both"/>
        <w:rPr>
          <w:rFonts w:ascii="Times New Roman" w:hAnsi="Times New Roman"/>
          <w:sz w:val="24"/>
          <w:szCs w:val="24"/>
        </w:rPr>
      </w:pPr>
      <w:r w:rsidRPr="00A46077">
        <w:rPr>
          <w:rFonts w:ascii="Times New Roman" w:hAnsi="Times New Roman"/>
          <w:sz w:val="24"/>
          <w:szCs w:val="24"/>
        </w:rPr>
        <w:t>Las cuentas por pagar clasificadas en la categoría del costo se miden por el valor de la transacción.</w:t>
      </w:r>
    </w:p>
    <w:p w14:paraId="44808D3E" w14:textId="77777777" w:rsidR="00A46077" w:rsidRPr="00A46077" w:rsidRDefault="00A46077" w:rsidP="00A46077">
      <w:pPr>
        <w:spacing w:after="0" w:line="240" w:lineRule="auto"/>
        <w:ind w:left="720"/>
        <w:jc w:val="both"/>
        <w:rPr>
          <w:rFonts w:ascii="Times New Roman" w:hAnsi="Times New Roman"/>
          <w:sz w:val="24"/>
          <w:szCs w:val="24"/>
        </w:rPr>
      </w:pPr>
    </w:p>
    <w:p w14:paraId="11E7A66A" w14:textId="29DA45C5" w:rsidR="00BA60EB" w:rsidRDefault="00A46077" w:rsidP="00A46077">
      <w:pPr>
        <w:spacing w:after="0" w:line="240" w:lineRule="auto"/>
        <w:ind w:left="720"/>
        <w:jc w:val="both"/>
        <w:rPr>
          <w:rFonts w:ascii="Times New Roman" w:hAnsi="Times New Roman"/>
          <w:b/>
          <w:bCs/>
          <w:sz w:val="24"/>
          <w:szCs w:val="24"/>
        </w:rPr>
      </w:pPr>
      <w:r w:rsidRPr="00A46077">
        <w:rPr>
          <w:rFonts w:ascii="Times New Roman" w:hAnsi="Times New Roman"/>
          <w:sz w:val="24"/>
          <w:szCs w:val="24"/>
        </w:rPr>
        <w:t>Las cuentas por pagar se dan de baja cuando se extingan las obligaciones que las originaron, es decir, cuando se hayan pagado, expiren o sean transferidas a un tercero</w:t>
      </w:r>
      <w:r w:rsidRPr="00A46077">
        <w:rPr>
          <w:rFonts w:ascii="Times New Roman" w:hAnsi="Times New Roman"/>
          <w:b/>
          <w:bCs/>
          <w:sz w:val="24"/>
          <w:szCs w:val="24"/>
        </w:rPr>
        <w:t>.</w:t>
      </w:r>
    </w:p>
    <w:p w14:paraId="35B36F22" w14:textId="10DA4606" w:rsidR="00122A05" w:rsidRDefault="00122A05" w:rsidP="00A46077">
      <w:pPr>
        <w:spacing w:after="0" w:line="240" w:lineRule="auto"/>
        <w:ind w:left="720"/>
        <w:jc w:val="both"/>
        <w:rPr>
          <w:rFonts w:ascii="Times New Roman" w:hAnsi="Times New Roman"/>
          <w:b/>
          <w:bCs/>
          <w:sz w:val="24"/>
          <w:szCs w:val="24"/>
        </w:rPr>
      </w:pPr>
    </w:p>
    <w:p w14:paraId="07E78F31" w14:textId="2F2F94CD" w:rsidR="00122A05" w:rsidRPr="00430A78" w:rsidRDefault="00122A05" w:rsidP="00425DA9">
      <w:pPr>
        <w:pStyle w:val="Prrafodelista"/>
        <w:numPr>
          <w:ilvl w:val="0"/>
          <w:numId w:val="1"/>
        </w:numPr>
        <w:spacing w:after="0" w:line="240" w:lineRule="auto"/>
        <w:jc w:val="both"/>
        <w:rPr>
          <w:rFonts w:ascii="Times New Roman" w:hAnsi="Times New Roman"/>
          <w:b/>
          <w:bCs/>
          <w:sz w:val="24"/>
          <w:szCs w:val="24"/>
        </w:rPr>
      </w:pPr>
      <w:r w:rsidRPr="00430A78">
        <w:rPr>
          <w:rFonts w:ascii="Times New Roman" w:hAnsi="Times New Roman"/>
          <w:b/>
          <w:bCs/>
          <w:sz w:val="24"/>
          <w:szCs w:val="24"/>
        </w:rPr>
        <w:t>Impuestos a las ganancias</w:t>
      </w:r>
    </w:p>
    <w:p w14:paraId="4F6C45E7" w14:textId="3F9AF86F" w:rsidR="00122A05" w:rsidRDefault="00430A78" w:rsidP="00122A05">
      <w:pPr>
        <w:pStyle w:val="Prrafodelista"/>
        <w:spacing w:after="0" w:line="240" w:lineRule="auto"/>
        <w:jc w:val="both"/>
        <w:rPr>
          <w:rFonts w:ascii="Times New Roman" w:hAnsi="Times New Roman"/>
          <w:sz w:val="24"/>
          <w:szCs w:val="24"/>
        </w:rPr>
      </w:pPr>
      <w:r w:rsidRPr="00430A78">
        <w:rPr>
          <w:rFonts w:ascii="Times New Roman" w:hAnsi="Times New Roman"/>
          <w:sz w:val="24"/>
          <w:szCs w:val="24"/>
        </w:rPr>
        <w:t>De acuerdo con el artículo 23 del Estatuto Tributario Nacional, modificado por el artículo 145 de la ley 1819 de 2016, el Icfes es una entidad no contribuyente del Impuesto sobre la renta y complementarios, obligada a presentar la declaración de ingresos y patrimonio.</w:t>
      </w:r>
    </w:p>
    <w:p w14:paraId="54E8B833" w14:textId="7EEF608E" w:rsidR="00122A05" w:rsidRDefault="00122A05" w:rsidP="00122A05">
      <w:pPr>
        <w:pStyle w:val="Prrafodelista"/>
        <w:spacing w:after="0" w:line="240" w:lineRule="auto"/>
        <w:jc w:val="both"/>
        <w:rPr>
          <w:rFonts w:ascii="Times New Roman" w:hAnsi="Times New Roman"/>
          <w:sz w:val="24"/>
          <w:szCs w:val="24"/>
        </w:rPr>
      </w:pPr>
    </w:p>
    <w:p w14:paraId="476C040F" w14:textId="5379D2DC" w:rsidR="00122A05" w:rsidRDefault="004F0E94" w:rsidP="00425DA9">
      <w:pPr>
        <w:pStyle w:val="Prrafodelista"/>
        <w:numPr>
          <w:ilvl w:val="0"/>
          <w:numId w:val="1"/>
        </w:numPr>
        <w:spacing w:after="0" w:line="240" w:lineRule="auto"/>
        <w:jc w:val="both"/>
        <w:rPr>
          <w:rFonts w:ascii="Times New Roman" w:hAnsi="Times New Roman"/>
          <w:b/>
          <w:bCs/>
          <w:sz w:val="24"/>
          <w:szCs w:val="24"/>
        </w:rPr>
      </w:pPr>
      <w:r w:rsidRPr="004F0E94">
        <w:rPr>
          <w:rFonts w:ascii="Times New Roman" w:hAnsi="Times New Roman"/>
          <w:b/>
          <w:bCs/>
          <w:sz w:val="24"/>
          <w:szCs w:val="24"/>
        </w:rPr>
        <w:t>Beneficios a los empleados a corto plazo</w:t>
      </w:r>
    </w:p>
    <w:p w14:paraId="039B23C8" w14:textId="1A9AA64A" w:rsidR="004F0E94" w:rsidRDefault="005465E9" w:rsidP="004F0E94">
      <w:pPr>
        <w:pStyle w:val="Prrafodelista"/>
        <w:spacing w:after="0" w:line="240" w:lineRule="auto"/>
        <w:jc w:val="both"/>
        <w:rPr>
          <w:rFonts w:ascii="Times New Roman" w:hAnsi="Times New Roman"/>
          <w:sz w:val="24"/>
          <w:szCs w:val="24"/>
        </w:rPr>
      </w:pPr>
      <w:r w:rsidRPr="005465E9">
        <w:rPr>
          <w:rFonts w:ascii="Times New Roman" w:hAnsi="Times New Roman"/>
          <w:sz w:val="24"/>
          <w:szCs w:val="24"/>
        </w:rPr>
        <w:t>Corresponde a las obligaciones adquiridas por la entidad como resultado de los servicios prestados por los empleados dentro del periodo contable, y cuya obligación de pago vence dentro de los 12 meses siguientes al cierre del periodo. Estos beneficios se miden por el valor que se espera pagar, después de deducir cualquier pago anticipado si lo hubiera.</w:t>
      </w:r>
    </w:p>
    <w:p w14:paraId="39EA31C3" w14:textId="6883C740" w:rsidR="005465E9" w:rsidRDefault="005465E9" w:rsidP="004F0E94">
      <w:pPr>
        <w:pStyle w:val="Prrafodelista"/>
        <w:spacing w:after="0" w:line="240" w:lineRule="auto"/>
        <w:jc w:val="both"/>
        <w:rPr>
          <w:rFonts w:ascii="Times New Roman" w:hAnsi="Times New Roman"/>
          <w:sz w:val="24"/>
          <w:szCs w:val="24"/>
        </w:rPr>
      </w:pPr>
    </w:p>
    <w:p w14:paraId="796F5FAF" w14:textId="23A01CD2" w:rsidR="00122A05" w:rsidRDefault="002E4A8C" w:rsidP="00425DA9">
      <w:pPr>
        <w:pStyle w:val="Prrafodelista"/>
        <w:numPr>
          <w:ilvl w:val="0"/>
          <w:numId w:val="1"/>
        </w:numPr>
        <w:spacing w:after="0" w:line="240" w:lineRule="auto"/>
        <w:jc w:val="both"/>
        <w:rPr>
          <w:rFonts w:ascii="Times New Roman" w:hAnsi="Times New Roman"/>
          <w:b/>
          <w:bCs/>
          <w:sz w:val="24"/>
          <w:szCs w:val="24"/>
        </w:rPr>
      </w:pPr>
      <w:r w:rsidRPr="002E4A8C">
        <w:rPr>
          <w:rFonts w:ascii="Times New Roman" w:hAnsi="Times New Roman"/>
          <w:b/>
          <w:bCs/>
          <w:sz w:val="24"/>
          <w:szCs w:val="24"/>
        </w:rPr>
        <w:t>Provisiones</w:t>
      </w:r>
    </w:p>
    <w:p w14:paraId="35FCE02A" w14:textId="77777777" w:rsidR="007F3F18" w:rsidRPr="007F3F18" w:rsidRDefault="007F3F18" w:rsidP="007F3F18">
      <w:pPr>
        <w:spacing w:after="0" w:line="240" w:lineRule="auto"/>
        <w:ind w:left="720"/>
        <w:jc w:val="both"/>
        <w:rPr>
          <w:rFonts w:ascii="Times New Roman" w:hAnsi="Times New Roman"/>
          <w:sz w:val="24"/>
          <w:szCs w:val="24"/>
        </w:rPr>
      </w:pPr>
      <w:r w:rsidRPr="007F3F18">
        <w:rPr>
          <w:rFonts w:ascii="Times New Roman" w:hAnsi="Times New Roman"/>
          <w:sz w:val="24"/>
          <w:szCs w:val="24"/>
        </w:rPr>
        <w:t>Se reconocen como provisiones los pasivos a cargo de la entidad que están sujetos a condiciones de incertidumbre respecto a su cuantía o vencimiento. Las provisiones son reconocidas cuando la entidad tiene una obligación presente (legal o implícita) como resultado de un evento pasado, de la que es probable que se requiera una salida de recursos que incorporan beneficios económicos futuros y sobre la que se tiene una estimación fiable de su monto.</w:t>
      </w:r>
    </w:p>
    <w:p w14:paraId="41308566" w14:textId="77777777" w:rsidR="007F3F18" w:rsidRPr="007F3F18" w:rsidRDefault="007F3F18" w:rsidP="007F3F18">
      <w:pPr>
        <w:spacing w:after="0" w:line="240" w:lineRule="auto"/>
        <w:ind w:left="720"/>
        <w:jc w:val="both"/>
        <w:rPr>
          <w:rFonts w:ascii="Times New Roman" w:hAnsi="Times New Roman"/>
          <w:sz w:val="24"/>
          <w:szCs w:val="24"/>
        </w:rPr>
      </w:pPr>
    </w:p>
    <w:p w14:paraId="7D7A613C" w14:textId="44656905" w:rsidR="007F3F18" w:rsidRPr="007F3F18" w:rsidRDefault="007F3F18" w:rsidP="007F3F18">
      <w:pPr>
        <w:spacing w:after="0" w:line="240" w:lineRule="auto"/>
        <w:ind w:left="720"/>
        <w:jc w:val="both"/>
        <w:rPr>
          <w:rFonts w:ascii="Times New Roman" w:hAnsi="Times New Roman"/>
          <w:sz w:val="24"/>
          <w:szCs w:val="24"/>
        </w:rPr>
      </w:pPr>
      <w:r w:rsidRPr="007F3F18">
        <w:rPr>
          <w:rFonts w:ascii="Times New Roman" w:hAnsi="Times New Roman"/>
          <w:sz w:val="24"/>
          <w:szCs w:val="24"/>
        </w:rPr>
        <w:t xml:space="preserve">Las provisiones se miden por el valor que refleja la mejor estimación del desembolso que se requiere para cancelar la obligación presente. Dicha estimación tiene en cuenta los desenlaces asociados de </w:t>
      </w:r>
      <w:r w:rsidR="00E662D7">
        <w:rPr>
          <w:rFonts w:ascii="Times New Roman" w:hAnsi="Times New Roman"/>
          <w:sz w:val="24"/>
          <w:szCs w:val="24"/>
        </w:rPr>
        <w:t>mayor</w:t>
      </w:r>
      <w:r w:rsidRPr="007F3F18">
        <w:rPr>
          <w:rFonts w:ascii="Times New Roman" w:hAnsi="Times New Roman"/>
          <w:sz w:val="24"/>
          <w:szCs w:val="24"/>
        </w:rPr>
        <w:t xml:space="preserve"> probabilidad, la experiencia que se tiene en operaciones similares y los riesgos e incertidumbres asociados con la obligación. Cuando el efecto del valor del dinero en el tiempo resulta significativo, la provisión se mide por el valor presente de los valores que se espera sean requeridos para liquidar la obligación. Posteriormente, la actualización de la provisión por el valor del dinero en el tiempo se reconoce como un gasto financiero.</w:t>
      </w:r>
    </w:p>
    <w:p w14:paraId="6D663E56" w14:textId="77777777" w:rsidR="006E6CB1" w:rsidRDefault="006E6CB1" w:rsidP="007F3F18">
      <w:pPr>
        <w:spacing w:after="0" w:line="240" w:lineRule="auto"/>
        <w:ind w:left="720"/>
        <w:jc w:val="both"/>
        <w:rPr>
          <w:rFonts w:ascii="Times New Roman" w:hAnsi="Times New Roman"/>
          <w:sz w:val="24"/>
          <w:szCs w:val="24"/>
        </w:rPr>
      </w:pPr>
    </w:p>
    <w:p w14:paraId="507E5F68" w14:textId="65259231" w:rsidR="002E4A8C" w:rsidRDefault="007F3F18" w:rsidP="007F3F18">
      <w:pPr>
        <w:spacing w:after="0" w:line="240" w:lineRule="auto"/>
        <w:ind w:left="720"/>
        <w:jc w:val="both"/>
        <w:rPr>
          <w:rFonts w:ascii="Times New Roman" w:hAnsi="Times New Roman"/>
          <w:b/>
          <w:bCs/>
          <w:sz w:val="24"/>
          <w:szCs w:val="24"/>
        </w:rPr>
      </w:pPr>
      <w:r w:rsidRPr="007F3F18">
        <w:rPr>
          <w:rFonts w:ascii="Times New Roman" w:hAnsi="Times New Roman"/>
          <w:sz w:val="24"/>
          <w:szCs w:val="24"/>
        </w:rPr>
        <w:t>El saldo de la provisión se ajusta, afectando el resultado del período, si existen evidencias de que el valor registrado por la obligación ha cambiado con respecto de la estimación inicial. La provisión se liquida o revierte cuando ya no es probable la salida de recursos económicos que incorporen beneficios económicos para cancelar la obligación correspondiente.</w:t>
      </w:r>
    </w:p>
    <w:p w14:paraId="6947F5BD" w14:textId="167DD608" w:rsidR="00C656DA" w:rsidRDefault="00C656DA" w:rsidP="002E4A8C">
      <w:pPr>
        <w:spacing w:after="0" w:line="240" w:lineRule="auto"/>
        <w:jc w:val="both"/>
        <w:rPr>
          <w:rFonts w:ascii="Times New Roman" w:hAnsi="Times New Roman"/>
          <w:b/>
          <w:bCs/>
          <w:sz w:val="24"/>
          <w:szCs w:val="24"/>
        </w:rPr>
      </w:pPr>
    </w:p>
    <w:p w14:paraId="7488AFB1" w14:textId="77777777" w:rsidR="00432519" w:rsidRDefault="00432519" w:rsidP="002E4A8C">
      <w:pPr>
        <w:spacing w:after="0" w:line="240" w:lineRule="auto"/>
        <w:jc w:val="both"/>
        <w:rPr>
          <w:rFonts w:ascii="Times New Roman" w:hAnsi="Times New Roman"/>
          <w:b/>
          <w:bCs/>
          <w:sz w:val="24"/>
          <w:szCs w:val="24"/>
        </w:rPr>
      </w:pPr>
    </w:p>
    <w:p w14:paraId="3D8ECECD" w14:textId="54A5C5CE" w:rsidR="00122A05" w:rsidRDefault="007B518B" w:rsidP="00425DA9">
      <w:pPr>
        <w:pStyle w:val="Prrafodelista"/>
        <w:numPr>
          <w:ilvl w:val="0"/>
          <w:numId w:val="1"/>
        </w:numPr>
        <w:spacing w:after="0" w:line="240" w:lineRule="auto"/>
        <w:jc w:val="both"/>
        <w:rPr>
          <w:rFonts w:ascii="Times New Roman" w:hAnsi="Times New Roman"/>
          <w:b/>
          <w:bCs/>
          <w:sz w:val="24"/>
          <w:szCs w:val="24"/>
        </w:rPr>
      </w:pPr>
      <w:r w:rsidRPr="007B518B">
        <w:rPr>
          <w:rFonts w:ascii="Times New Roman" w:hAnsi="Times New Roman"/>
          <w:b/>
          <w:bCs/>
          <w:sz w:val="24"/>
          <w:szCs w:val="24"/>
        </w:rPr>
        <w:lastRenderedPageBreak/>
        <w:t>Ingresos costos y gastos</w:t>
      </w:r>
    </w:p>
    <w:p w14:paraId="76A25CEE" w14:textId="7BC041E9" w:rsidR="007B518B" w:rsidRPr="00A15224" w:rsidRDefault="00A15224" w:rsidP="007B518B">
      <w:pPr>
        <w:pStyle w:val="Prrafodelista"/>
        <w:spacing w:after="0" w:line="240" w:lineRule="auto"/>
        <w:jc w:val="both"/>
        <w:rPr>
          <w:rFonts w:ascii="Times New Roman" w:hAnsi="Times New Roman"/>
          <w:sz w:val="24"/>
          <w:szCs w:val="24"/>
        </w:rPr>
      </w:pPr>
      <w:r w:rsidRPr="00A15224">
        <w:rPr>
          <w:rFonts w:ascii="Times New Roman" w:hAnsi="Times New Roman"/>
          <w:sz w:val="24"/>
          <w:szCs w:val="24"/>
        </w:rPr>
        <w:t>En términos generales, los ingresos son reconocidos en la medida que es probable que los beneficios económicos fluyan a la entidad y puedan medirse con fiabilidad. Los siguientes criterios son aplicados a los ingresos generados por la entidad:</w:t>
      </w:r>
    </w:p>
    <w:p w14:paraId="72A55616" w14:textId="2F932637" w:rsidR="00C47FF1" w:rsidRPr="00C47FF1" w:rsidRDefault="00C47FF1" w:rsidP="00547377">
      <w:pPr>
        <w:pStyle w:val="Prrafodelista"/>
        <w:spacing w:after="0" w:line="240" w:lineRule="auto"/>
        <w:jc w:val="both"/>
        <w:rPr>
          <w:rFonts w:ascii="Times New Roman" w:hAnsi="Times New Roman"/>
          <w:sz w:val="24"/>
          <w:szCs w:val="24"/>
        </w:rPr>
      </w:pPr>
      <w:r w:rsidRPr="00C47FF1">
        <w:rPr>
          <w:rFonts w:ascii="Times New Roman" w:hAnsi="Times New Roman"/>
          <w:b/>
          <w:bCs/>
          <w:sz w:val="24"/>
          <w:szCs w:val="24"/>
        </w:rPr>
        <w:t>•</w:t>
      </w:r>
      <w:r>
        <w:rPr>
          <w:rFonts w:ascii="Times New Roman" w:hAnsi="Times New Roman"/>
          <w:b/>
          <w:bCs/>
          <w:sz w:val="24"/>
          <w:szCs w:val="24"/>
        </w:rPr>
        <w:t xml:space="preserve">  </w:t>
      </w:r>
      <w:r w:rsidRPr="00C47FF1">
        <w:rPr>
          <w:rFonts w:ascii="Times New Roman" w:hAnsi="Times New Roman"/>
          <w:sz w:val="24"/>
          <w:szCs w:val="24"/>
        </w:rPr>
        <w:t>Los ingresos por las actividades de prestación de servicios se reconocen en el momento en el que el servicio es prestado y se miden por el valor razonable de la contraprestación recibida o por recibir.</w:t>
      </w:r>
    </w:p>
    <w:p w14:paraId="4BE49057" w14:textId="77777777" w:rsidR="00C47FF1" w:rsidRPr="00C47FF1" w:rsidRDefault="00C47FF1" w:rsidP="00547377">
      <w:pPr>
        <w:pStyle w:val="Prrafodelista"/>
        <w:spacing w:after="0" w:line="240" w:lineRule="auto"/>
        <w:jc w:val="both"/>
        <w:rPr>
          <w:rFonts w:ascii="Times New Roman" w:hAnsi="Times New Roman"/>
          <w:sz w:val="24"/>
          <w:szCs w:val="24"/>
        </w:rPr>
      </w:pPr>
      <w:r w:rsidRPr="00C47FF1">
        <w:rPr>
          <w:rFonts w:ascii="Times New Roman" w:hAnsi="Times New Roman"/>
          <w:sz w:val="24"/>
          <w:szCs w:val="24"/>
        </w:rPr>
        <w:t xml:space="preserve"> </w:t>
      </w:r>
    </w:p>
    <w:p w14:paraId="1A82274F" w14:textId="0E11479A" w:rsidR="00C47FF1" w:rsidRPr="00C47FF1" w:rsidRDefault="00C47FF1" w:rsidP="00547377">
      <w:pPr>
        <w:pStyle w:val="Prrafodelista"/>
        <w:spacing w:after="0" w:line="240" w:lineRule="auto"/>
        <w:jc w:val="both"/>
        <w:rPr>
          <w:rFonts w:ascii="Times New Roman" w:hAnsi="Times New Roman"/>
          <w:sz w:val="24"/>
          <w:szCs w:val="24"/>
        </w:rPr>
      </w:pPr>
      <w:r w:rsidRPr="00C47FF1">
        <w:rPr>
          <w:rFonts w:ascii="Times New Roman" w:hAnsi="Times New Roman"/>
          <w:sz w:val="24"/>
          <w:szCs w:val="24"/>
        </w:rPr>
        <w:t>•</w:t>
      </w:r>
      <w:r>
        <w:rPr>
          <w:rFonts w:ascii="Times New Roman" w:hAnsi="Times New Roman"/>
          <w:sz w:val="24"/>
          <w:szCs w:val="24"/>
        </w:rPr>
        <w:t xml:space="preserve">  </w:t>
      </w:r>
      <w:r w:rsidRPr="00C47FF1">
        <w:rPr>
          <w:rFonts w:ascii="Times New Roman" w:hAnsi="Times New Roman"/>
          <w:sz w:val="24"/>
          <w:szCs w:val="24"/>
        </w:rPr>
        <w:t>Los ingresos por arrendamientos se miden de forma lineal a lo largo del plazo del arrendamiento, a menos que exista otra base sistemática más representativa sobre el patrón temporal de consumo de los beneficios económicos del activo arrendado.</w:t>
      </w:r>
    </w:p>
    <w:p w14:paraId="0E2AC30A" w14:textId="77777777" w:rsidR="00C47FF1" w:rsidRPr="00C47FF1" w:rsidRDefault="00C47FF1" w:rsidP="00547377">
      <w:pPr>
        <w:pStyle w:val="Prrafodelista"/>
        <w:spacing w:after="0" w:line="240" w:lineRule="auto"/>
        <w:jc w:val="both"/>
        <w:rPr>
          <w:rFonts w:ascii="Times New Roman" w:hAnsi="Times New Roman"/>
          <w:sz w:val="24"/>
          <w:szCs w:val="24"/>
        </w:rPr>
      </w:pPr>
    </w:p>
    <w:p w14:paraId="2FAEF3B0" w14:textId="419B6B90" w:rsidR="00A15224" w:rsidRDefault="00C47FF1" w:rsidP="00547377">
      <w:pPr>
        <w:pStyle w:val="Prrafodelista"/>
        <w:spacing w:after="0" w:line="240" w:lineRule="auto"/>
        <w:jc w:val="both"/>
        <w:rPr>
          <w:rFonts w:ascii="Times New Roman" w:hAnsi="Times New Roman"/>
          <w:sz w:val="24"/>
          <w:szCs w:val="24"/>
        </w:rPr>
      </w:pPr>
      <w:r w:rsidRPr="00C47FF1">
        <w:rPr>
          <w:rFonts w:ascii="Times New Roman" w:hAnsi="Times New Roman"/>
          <w:sz w:val="24"/>
          <w:szCs w:val="24"/>
        </w:rPr>
        <w:t>•</w:t>
      </w:r>
      <w:r>
        <w:rPr>
          <w:rFonts w:ascii="Times New Roman" w:hAnsi="Times New Roman"/>
          <w:sz w:val="24"/>
          <w:szCs w:val="24"/>
        </w:rPr>
        <w:t xml:space="preserve">  </w:t>
      </w:r>
      <w:r w:rsidRPr="00C47FF1">
        <w:rPr>
          <w:rFonts w:ascii="Times New Roman" w:hAnsi="Times New Roman"/>
          <w:sz w:val="24"/>
          <w:szCs w:val="24"/>
        </w:rPr>
        <w:t>Los ingresos por intereses se miden a partir de la tasa de interés efectiva. Los demás ingresos financieros se reconocen en el momento en que se realizan valoraciones o la baja en cuentas.</w:t>
      </w:r>
    </w:p>
    <w:p w14:paraId="027A5912" w14:textId="2AB7AE47" w:rsidR="00BD053D" w:rsidRDefault="00BD053D" w:rsidP="00547377">
      <w:pPr>
        <w:pStyle w:val="Prrafodelista"/>
        <w:spacing w:after="0" w:line="240" w:lineRule="auto"/>
        <w:jc w:val="both"/>
        <w:rPr>
          <w:rFonts w:ascii="Times New Roman" w:hAnsi="Times New Roman"/>
          <w:sz w:val="24"/>
          <w:szCs w:val="24"/>
        </w:rPr>
      </w:pPr>
    </w:p>
    <w:p w14:paraId="63A5B01C" w14:textId="5C0D03D0" w:rsidR="00BD053D" w:rsidRDefault="006A611B" w:rsidP="00547377">
      <w:pPr>
        <w:pStyle w:val="Prrafodelista"/>
        <w:spacing w:after="0" w:line="240" w:lineRule="auto"/>
        <w:jc w:val="both"/>
        <w:rPr>
          <w:rFonts w:ascii="Times New Roman" w:hAnsi="Times New Roman"/>
          <w:sz w:val="24"/>
          <w:szCs w:val="24"/>
        </w:rPr>
      </w:pPr>
      <w:r w:rsidRPr="006A611B">
        <w:rPr>
          <w:rFonts w:ascii="Times New Roman" w:hAnsi="Times New Roman"/>
          <w:sz w:val="24"/>
          <w:szCs w:val="24"/>
        </w:rPr>
        <w:t xml:space="preserve">Los </w:t>
      </w:r>
      <w:r w:rsidR="0059107B">
        <w:rPr>
          <w:rFonts w:ascii="Times New Roman" w:hAnsi="Times New Roman"/>
          <w:sz w:val="24"/>
          <w:szCs w:val="24"/>
        </w:rPr>
        <w:t xml:space="preserve">costos y </w:t>
      </w:r>
      <w:r w:rsidRPr="006A611B">
        <w:rPr>
          <w:rFonts w:ascii="Times New Roman" w:hAnsi="Times New Roman"/>
          <w:sz w:val="24"/>
          <w:szCs w:val="24"/>
        </w:rPr>
        <w:t>gastos se reconocen en la medida que ocurran los hechos económicos en tal forma que queden registrados sistemáticamente en el período contable correspondiente (causación), independiente del flujo de recursos monetarios o financieros (caja).</w:t>
      </w:r>
    </w:p>
    <w:p w14:paraId="0B8287CA" w14:textId="77777777" w:rsidR="0033345C" w:rsidRDefault="0033345C" w:rsidP="00667BC9">
      <w:pPr>
        <w:spacing w:after="0" w:line="240" w:lineRule="auto"/>
        <w:jc w:val="both"/>
        <w:rPr>
          <w:rFonts w:ascii="Times New Roman" w:hAnsi="Times New Roman"/>
          <w:sz w:val="24"/>
          <w:szCs w:val="24"/>
        </w:rPr>
      </w:pPr>
    </w:p>
    <w:p w14:paraId="083A1A2C" w14:textId="77777777" w:rsidR="00DA56D1" w:rsidRPr="00DA56D1" w:rsidRDefault="00DA56D1" w:rsidP="00425DA9">
      <w:pPr>
        <w:pStyle w:val="Prrafodelista"/>
        <w:numPr>
          <w:ilvl w:val="0"/>
          <w:numId w:val="1"/>
        </w:numPr>
        <w:spacing w:after="0" w:line="240" w:lineRule="auto"/>
        <w:jc w:val="both"/>
        <w:rPr>
          <w:rFonts w:ascii="Times New Roman" w:hAnsi="Times New Roman"/>
          <w:b/>
          <w:sz w:val="24"/>
          <w:szCs w:val="24"/>
        </w:rPr>
      </w:pPr>
      <w:r w:rsidRPr="00DA56D1">
        <w:rPr>
          <w:rFonts w:ascii="Times New Roman" w:hAnsi="Times New Roman"/>
          <w:b/>
          <w:sz w:val="24"/>
          <w:szCs w:val="24"/>
        </w:rPr>
        <w:t>LISTADO DE NOTAS QUE NO LE APLICAN A LA ENTIDAD</w:t>
      </w:r>
    </w:p>
    <w:p w14:paraId="380ABA3D" w14:textId="77777777" w:rsidR="00DA56D1" w:rsidRDefault="00DA56D1" w:rsidP="00DA56D1">
      <w:pPr>
        <w:spacing w:after="0" w:line="240" w:lineRule="auto"/>
        <w:ind w:left="709" w:hanging="2"/>
        <w:jc w:val="both"/>
        <w:rPr>
          <w:rFonts w:ascii="Times New Roman" w:hAnsi="Times New Roman"/>
          <w:b/>
          <w:sz w:val="24"/>
          <w:szCs w:val="24"/>
        </w:rPr>
      </w:pPr>
    </w:p>
    <w:p w14:paraId="7344D596" w14:textId="7D1BA955" w:rsidR="00DA56D1" w:rsidRDefault="00DA56D1" w:rsidP="00DA56D1">
      <w:pPr>
        <w:spacing w:after="0" w:line="240" w:lineRule="auto"/>
        <w:ind w:left="709" w:hanging="2"/>
        <w:jc w:val="both"/>
        <w:rPr>
          <w:rFonts w:ascii="Times New Roman" w:hAnsi="Times New Roman"/>
          <w:sz w:val="24"/>
          <w:szCs w:val="24"/>
        </w:rPr>
      </w:pPr>
      <w:r>
        <w:rPr>
          <w:rFonts w:ascii="Times New Roman" w:hAnsi="Times New Roman"/>
          <w:sz w:val="24"/>
          <w:szCs w:val="24"/>
        </w:rPr>
        <w:t xml:space="preserve">NOTA </w:t>
      </w:r>
      <w:r w:rsidR="00072E59">
        <w:rPr>
          <w:rFonts w:ascii="Times New Roman" w:hAnsi="Times New Roman"/>
          <w:sz w:val="24"/>
          <w:szCs w:val="24"/>
        </w:rPr>
        <w:t>8</w:t>
      </w:r>
      <w:r>
        <w:rPr>
          <w:rFonts w:ascii="Times New Roman" w:hAnsi="Times New Roman"/>
          <w:sz w:val="24"/>
          <w:szCs w:val="24"/>
        </w:rPr>
        <w:t xml:space="preserve">. </w:t>
      </w:r>
      <w:r w:rsidR="00072E59">
        <w:rPr>
          <w:rFonts w:ascii="Times New Roman" w:hAnsi="Times New Roman"/>
          <w:sz w:val="24"/>
          <w:szCs w:val="24"/>
        </w:rPr>
        <w:t>PRÉSTAMOS POR COBRAR</w:t>
      </w:r>
    </w:p>
    <w:p w14:paraId="0E978F1A" w14:textId="317B9B23" w:rsidR="00DA56D1" w:rsidRPr="00DA56D1" w:rsidRDefault="00DA56D1" w:rsidP="00DA56D1">
      <w:pPr>
        <w:spacing w:after="0" w:line="240" w:lineRule="auto"/>
        <w:ind w:left="709" w:hanging="2"/>
        <w:jc w:val="both"/>
        <w:rPr>
          <w:rFonts w:ascii="Times New Roman" w:hAnsi="Times New Roman"/>
          <w:sz w:val="24"/>
          <w:szCs w:val="24"/>
        </w:rPr>
      </w:pPr>
      <w:r w:rsidRPr="00DA56D1">
        <w:rPr>
          <w:rFonts w:ascii="Times New Roman" w:hAnsi="Times New Roman"/>
          <w:sz w:val="24"/>
          <w:szCs w:val="24"/>
        </w:rPr>
        <w:t xml:space="preserve">NOTA </w:t>
      </w:r>
      <w:r w:rsidR="00E86E6A">
        <w:rPr>
          <w:rFonts w:ascii="Times New Roman" w:hAnsi="Times New Roman"/>
          <w:sz w:val="24"/>
          <w:szCs w:val="24"/>
        </w:rPr>
        <w:t>9</w:t>
      </w:r>
      <w:r w:rsidRPr="00DA56D1">
        <w:rPr>
          <w:rFonts w:ascii="Times New Roman" w:hAnsi="Times New Roman"/>
          <w:sz w:val="24"/>
          <w:szCs w:val="24"/>
        </w:rPr>
        <w:t xml:space="preserve">. </w:t>
      </w:r>
      <w:r w:rsidR="00E86E6A">
        <w:rPr>
          <w:rFonts w:ascii="Times New Roman" w:hAnsi="Times New Roman"/>
          <w:sz w:val="24"/>
          <w:szCs w:val="24"/>
        </w:rPr>
        <w:t>INVENTARIOS</w:t>
      </w:r>
    </w:p>
    <w:p w14:paraId="6759A339" w14:textId="42F51ACE" w:rsidR="00DA56D1" w:rsidRDefault="00DA56D1" w:rsidP="00DA56D1">
      <w:pPr>
        <w:spacing w:after="0" w:line="240" w:lineRule="auto"/>
        <w:ind w:left="709"/>
        <w:jc w:val="both"/>
        <w:rPr>
          <w:rFonts w:ascii="Times New Roman" w:hAnsi="Times New Roman"/>
          <w:sz w:val="24"/>
          <w:szCs w:val="24"/>
        </w:rPr>
      </w:pPr>
      <w:r w:rsidRPr="00DA56D1">
        <w:rPr>
          <w:rFonts w:ascii="Times New Roman" w:hAnsi="Times New Roman"/>
          <w:sz w:val="24"/>
          <w:szCs w:val="24"/>
        </w:rPr>
        <w:t>NOTA 1</w:t>
      </w:r>
      <w:r w:rsidR="00801E9A">
        <w:rPr>
          <w:rFonts w:ascii="Times New Roman" w:hAnsi="Times New Roman"/>
          <w:sz w:val="24"/>
          <w:szCs w:val="24"/>
        </w:rPr>
        <w:t>1</w:t>
      </w:r>
      <w:r w:rsidRPr="00DA56D1">
        <w:rPr>
          <w:rFonts w:ascii="Times New Roman" w:hAnsi="Times New Roman"/>
          <w:sz w:val="24"/>
          <w:szCs w:val="24"/>
        </w:rPr>
        <w:t xml:space="preserve">. </w:t>
      </w:r>
      <w:r w:rsidR="00EA2111">
        <w:rPr>
          <w:rFonts w:ascii="Times New Roman" w:hAnsi="Times New Roman"/>
          <w:sz w:val="24"/>
          <w:szCs w:val="24"/>
        </w:rPr>
        <w:t>BIENES DE USO PÚBLICO HISTÓRICOS Y CULTURALES</w:t>
      </w:r>
    </w:p>
    <w:p w14:paraId="50123829" w14:textId="5E7AB78D" w:rsidR="00486EA0" w:rsidRDefault="00486EA0" w:rsidP="00DA56D1">
      <w:pPr>
        <w:spacing w:after="0" w:line="240" w:lineRule="auto"/>
        <w:ind w:left="709"/>
        <w:jc w:val="both"/>
        <w:rPr>
          <w:rFonts w:ascii="Times New Roman" w:hAnsi="Times New Roman"/>
          <w:sz w:val="24"/>
          <w:szCs w:val="24"/>
        </w:rPr>
      </w:pPr>
      <w:r>
        <w:rPr>
          <w:rFonts w:ascii="Times New Roman" w:hAnsi="Times New Roman"/>
          <w:sz w:val="24"/>
          <w:szCs w:val="24"/>
        </w:rPr>
        <w:t>NOTA 12. RECURSOS NATURALES NO RENOVABLES</w:t>
      </w:r>
    </w:p>
    <w:p w14:paraId="24E07F81" w14:textId="74F9E42F" w:rsidR="00486EA0" w:rsidRDefault="00486EA0" w:rsidP="00DA56D1">
      <w:pPr>
        <w:spacing w:after="0" w:line="240" w:lineRule="auto"/>
        <w:ind w:left="709"/>
        <w:jc w:val="both"/>
        <w:rPr>
          <w:rFonts w:ascii="Times New Roman" w:hAnsi="Times New Roman"/>
          <w:sz w:val="24"/>
          <w:szCs w:val="24"/>
        </w:rPr>
      </w:pPr>
      <w:r>
        <w:rPr>
          <w:rFonts w:ascii="Times New Roman" w:hAnsi="Times New Roman"/>
          <w:sz w:val="24"/>
          <w:szCs w:val="24"/>
        </w:rPr>
        <w:t>NOTA 15. ACTIVOS BIOLÓGICOS</w:t>
      </w:r>
    </w:p>
    <w:p w14:paraId="685776AB" w14:textId="7D535F3B" w:rsidR="002A0B54" w:rsidRDefault="002A0B54" w:rsidP="00DA56D1">
      <w:pPr>
        <w:spacing w:after="0" w:line="240" w:lineRule="auto"/>
        <w:ind w:left="709"/>
        <w:jc w:val="both"/>
        <w:rPr>
          <w:rFonts w:ascii="Times New Roman" w:hAnsi="Times New Roman"/>
          <w:sz w:val="24"/>
          <w:szCs w:val="24"/>
        </w:rPr>
      </w:pPr>
      <w:r>
        <w:rPr>
          <w:rFonts w:ascii="Times New Roman" w:hAnsi="Times New Roman"/>
          <w:sz w:val="24"/>
          <w:szCs w:val="24"/>
        </w:rPr>
        <w:t>NOTA 18. COSTOS DE FINANCIACIÓN</w:t>
      </w:r>
    </w:p>
    <w:p w14:paraId="0279498E" w14:textId="4EFB59BC" w:rsidR="002A0B54" w:rsidRDefault="001E407A" w:rsidP="00DA56D1">
      <w:pPr>
        <w:spacing w:after="0" w:line="240" w:lineRule="auto"/>
        <w:ind w:left="709"/>
        <w:jc w:val="both"/>
        <w:rPr>
          <w:rFonts w:ascii="Times New Roman" w:hAnsi="Times New Roman"/>
          <w:sz w:val="24"/>
          <w:szCs w:val="24"/>
        </w:rPr>
      </w:pPr>
      <w:r>
        <w:rPr>
          <w:rFonts w:ascii="Times New Roman" w:hAnsi="Times New Roman"/>
          <w:sz w:val="24"/>
          <w:szCs w:val="24"/>
        </w:rPr>
        <w:t>NOTA 19. EMISIÓN Y COLOCACIÓN DE TÍTULOS DE DEUDA</w:t>
      </w:r>
    </w:p>
    <w:p w14:paraId="1BAE73A4" w14:textId="6700D1DB" w:rsidR="001E407A" w:rsidRDefault="005E061F" w:rsidP="00DA56D1">
      <w:pPr>
        <w:spacing w:after="0" w:line="240" w:lineRule="auto"/>
        <w:ind w:left="709"/>
        <w:jc w:val="both"/>
        <w:rPr>
          <w:rFonts w:ascii="Times New Roman" w:hAnsi="Times New Roman"/>
          <w:sz w:val="24"/>
          <w:szCs w:val="24"/>
        </w:rPr>
      </w:pPr>
      <w:r>
        <w:rPr>
          <w:rFonts w:ascii="Times New Roman" w:hAnsi="Times New Roman"/>
          <w:sz w:val="24"/>
          <w:szCs w:val="24"/>
        </w:rPr>
        <w:t xml:space="preserve">NOTA 20. PRÉSTAMOS POR PAGAR </w:t>
      </w:r>
    </w:p>
    <w:p w14:paraId="257FBADE" w14:textId="52C319AC" w:rsidR="005E061F" w:rsidRDefault="00035A2F" w:rsidP="00DA56D1">
      <w:pPr>
        <w:spacing w:after="0" w:line="240" w:lineRule="auto"/>
        <w:ind w:left="709"/>
        <w:jc w:val="both"/>
        <w:rPr>
          <w:rFonts w:ascii="Times New Roman" w:hAnsi="Times New Roman"/>
          <w:sz w:val="24"/>
          <w:szCs w:val="24"/>
        </w:rPr>
      </w:pPr>
      <w:r>
        <w:rPr>
          <w:rFonts w:ascii="Times New Roman" w:hAnsi="Times New Roman"/>
          <w:sz w:val="24"/>
          <w:szCs w:val="24"/>
        </w:rPr>
        <w:t>NOTA 32. ACUERDOS DE CONCESIÓN</w:t>
      </w:r>
    </w:p>
    <w:p w14:paraId="21BCC450" w14:textId="06C5787E" w:rsidR="00035A2F" w:rsidRDefault="00F15B66" w:rsidP="00DA56D1">
      <w:pPr>
        <w:spacing w:after="0" w:line="240" w:lineRule="auto"/>
        <w:ind w:left="709"/>
        <w:jc w:val="both"/>
        <w:rPr>
          <w:rFonts w:ascii="Times New Roman" w:hAnsi="Times New Roman"/>
          <w:sz w:val="24"/>
          <w:szCs w:val="24"/>
        </w:rPr>
      </w:pPr>
      <w:r>
        <w:rPr>
          <w:rFonts w:ascii="Times New Roman" w:hAnsi="Times New Roman"/>
          <w:sz w:val="24"/>
          <w:szCs w:val="24"/>
        </w:rPr>
        <w:t>NOTA 33. ADMINISTRACIÓN DE RECURSOS D</w:t>
      </w:r>
      <w:r w:rsidR="00FC5B5F">
        <w:rPr>
          <w:rFonts w:ascii="Times New Roman" w:hAnsi="Times New Roman"/>
          <w:sz w:val="24"/>
          <w:szCs w:val="24"/>
        </w:rPr>
        <w:t>E SEGURIDAD SOCIAL EN PENSIONES</w:t>
      </w:r>
    </w:p>
    <w:p w14:paraId="722D2048" w14:textId="60AC224F" w:rsidR="00DA56D1" w:rsidRDefault="000F1784" w:rsidP="00DA56D1">
      <w:pPr>
        <w:spacing w:after="0" w:line="240" w:lineRule="auto"/>
        <w:ind w:left="709"/>
        <w:jc w:val="both"/>
        <w:rPr>
          <w:rFonts w:ascii="Times New Roman" w:hAnsi="Times New Roman"/>
          <w:sz w:val="24"/>
          <w:szCs w:val="24"/>
        </w:rPr>
      </w:pPr>
      <w:r>
        <w:rPr>
          <w:rFonts w:ascii="Times New Roman" w:hAnsi="Times New Roman"/>
          <w:sz w:val="24"/>
          <w:szCs w:val="24"/>
        </w:rPr>
        <w:t>NOTA 35. IMPUESTO A LAS GANANCIAS</w:t>
      </w:r>
    </w:p>
    <w:p w14:paraId="46AD14CE" w14:textId="2F4E83CB" w:rsidR="00FC5B5F" w:rsidRDefault="00FC5B5F" w:rsidP="00DA56D1">
      <w:pPr>
        <w:spacing w:after="0" w:line="240" w:lineRule="auto"/>
        <w:ind w:left="709"/>
        <w:jc w:val="both"/>
        <w:rPr>
          <w:rFonts w:ascii="Times New Roman" w:hAnsi="Times New Roman"/>
          <w:sz w:val="24"/>
          <w:szCs w:val="24"/>
        </w:rPr>
      </w:pPr>
      <w:r w:rsidRPr="00FC5B5F">
        <w:rPr>
          <w:rFonts w:ascii="Times New Roman" w:hAnsi="Times New Roman"/>
          <w:sz w:val="24"/>
          <w:szCs w:val="24"/>
        </w:rPr>
        <w:t>NOTA 37. REVELACIONES SOBRE EL ESTADO DE FLUJO DE EFECTIVO</w:t>
      </w:r>
    </w:p>
    <w:p w14:paraId="4D7BE7AC" w14:textId="23FB2830" w:rsidR="00A32FBC" w:rsidRDefault="00A32FBC" w:rsidP="00BA4705">
      <w:pPr>
        <w:spacing w:after="0" w:line="240" w:lineRule="auto"/>
        <w:jc w:val="both"/>
        <w:rPr>
          <w:rFonts w:ascii="Times New Roman" w:hAnsi="Times New Roman"/>
          <w:sz w:val="24"/>
          <w:szCs w:val="24"/>
        </w:rPr>
      </w:pPr>
    </w:p>
    <w:p w14:paraId="36A46F83" w14:textId="77777777" w:rsidR="00F26F3E" w:rsidRDefault="00F26F3E" w:rsidP="00BA4705">
      <w:pPr>
        <w:spacing w:after="0" w:line="240" w:lineRule="auto"/>
        <w:jc w:val="both"/>
        <w:rPr>
          <w:rFonts w:ascii="Times New Roman" w:hAnsi="Times New Roman"/>
          <w:sz w:val="24"/>
          <w:szCs w:val="24"/>
        </w:rPr>
      </w:pPr>
    </w:p>
    <w:p w14:paraId="65964B01" w14:textId="77777777" w:rsidR="00F26F3E" w:rsidRDefault="00F26F3E" w:rsidP="00BA4705">
      <w:pPr>
        <w:spacing w:after="0" w:line="240" w:lineRule="auto"/>
        <w:jc w:val="both"/>
        <w:rPr>
          <w:rFonts w:ascii="Times New Roman" w:hAnsi="Times New Roman"/>
          <w:sz w:val="24"/>
          <w:szCs w:val="24"/>
        </w:rPr>
      </w:pPr>
    </w:p>
    <w:p w14:paraId="0AD15832" w14:textId="77777777" w:rsidR="00F26F3E" w:rsidRDefault="00F26F3E" w:rsidP="00BA4705">
      <w:pPr>
        <w:spacing w:after="0" w:line="240" w:lineRule="auto"/>
        <w:jc w:val="both"/>
        <w:rPr>
          <w:rFonts w:ascii="Times New Roman" w:hAnsi="Times New Roman"/>
          <w:sz w:val="24"/>
          <w:szCs w:val="24"/>
        </w:rPr>
      </w:pPr>
    </w:p>
    <w:p w14:paraId="2450F32D" w14:textId="3AC921BF" w:rsidR="00F26F3E" w:rsidRDefault="00F26F3E" w:rsidP="00BA4705">
      <w:pPr>
        <w:spacing w:after="0" w:line="240" w:lineRule="auto"/>
        <w:jc w:val="both"/>
        <w:rPr>
          <w:rFonts w:ascii="Times New Roman" w:hAnsi="Times New Roman"/>
          <w:sz w:val="24"/>
          <w:szCs w:val="24"/>
        </w:rPr>
      </w:pPr>
    </w:p>
    <w:p w14:paraId="51206D62" w14:textId="64113000" w:rsidR="00432519" w:rsidRDefault="00432519" w:rsidP="00BA4705">
      <w:pPr>
        <w:spacing w:after="0" w:line="240" w:lineRule="auto"/>
        <w:jc w:val="both"/>
        <w:rPr>
          <w:rFonts w:ascii="Times New Roman" w:hAnsi="Times New Roman"/>
          <w:sz w:val="24"/>
          <w:szCs w:val="24"/>
        </w:rPr>
      </w:pPr>
    </w:p>
    <w:p w14:paraId="026B6352" w14:textId="6CCDE2CE" w:rsidR="00432519" w:rsidRDefault="00432519" w:rsidP="00BA4705">
      <w:pPr>
        <w:spacing w:after="0" w:line="240" w:lineRule="auto"/>
        <w:jc w:val="both"/>
        <w:rPr>
          <w:rFonts w:ascii="Times New Roman" w:hAnsi="Times New Roman"/>
          <w:sz w:val="24"/>
          <w:szCs w:val="24"/>
        </w:rPr>
      </w:pPr>
    </w:p>
    <w:p w14:paraId="3182E483" w14:textId="77777777" w:rsidR="00432519" w:rsidRDefault="00432519" w:rsidP="00BA4705">
      <w:pPr>
        <w:spacing w:after="0" w:line="240" w:lineRule="auto"/>
        <w:jc w:val="both"/>
        <w:rPr>
          <w:rFonts w:ascii="Times New Roman" w:hAnsi="Times New Roman"/>
          <w:sz w:val="24"/>
          <w:szCs w:val="24"/>
        </w:rPr>
      </w:pPr>
    </w:p>
    <w:p w14:paraId="641199FB" w14:textId="36A40BB7" w:rsidR="00432519" w:rsidRDefault="00432519" w:rsidP="00073315">
      <w:pPr>
        <w:pStyle w:val="Ttulo1"/>
      </w:pPr>
      <w:bookmarkStart w:id="19" w:name="_Toc99455306"/>
    </w:p>
    <w:p w14:paraId="4E623E80" w14:textId="77777777" w:rsidR="00432519" w:rsidRPr="00432519" w:rsidRDefault="00432519" w:rsidP="00432519"/>
    <w:p w14:paraId="087A17F5" w14:textId="058540BF" w:rsidR="00F2570F" w:rsidRPr="00E2373F" w:rsidRDefault="00F2570F" w:rsidP="00073315">
      <w:pPr>
        <w:pStyle w:val="Ttulo1"/>
      </w:pPr>
      <w:r w:rsidRPr="00E2373F">
        <w:lastRenderedPageBreak/>
        <w:t xml:space="preserve">NOTA 5. EFECTIVO Y EQUIVALENTES </w:t>
      </w:r>
      <w:r w:rsidR="00016FB7" w:rsidRPr="00E2373F">
        <w:t>AL</w:t>
      </w:r>
      <w:r w:rsidRPr="00E2373F">
        <w:t xml:space="preserve"> EFECTIVO</w:t>
      </w:r>
      <w:bookmarkEnd w:id="19"/>
      <w:r w:rsidRPr="00E2373F">
        <w:t xml:space="preserve"> </w:t>
      </w:r>
    </w:p>
    <w:p w14:paraId="4EF5B572" w14:textId="77777777" w:rsidR="00114F87" w:rsidRPr="00E2373F" w:rsidRDefault="00114F87" w:rsidP="00547377">
      <w:pPr>
        <w:spacing w:after="0" w:line="240" w:lineRule="auto"/>
        <w:jc w:val="both"/>
        <w:rPr>
          <w:rFonts w:ascii="Times New Roman" w:hAnsi="Times New Roman"/>
          <w:b/>
          <w:sz w:val="24"/>
          <w:szCs w:val="24"/>
        </w:rPr>
      </w:pPr>
    </w:p>
    <w:p w14:paraId="433EAD08" w14:textId="5075121F" w:rsidR="00E067B1" w:rsidRPr="00AC4D9D" w:rsidRDefault="00C8685E" w:rsidP="00932CFF">
      <w:pPr>
        <w:pStyle w:val="Ttulo2"/>
        <w:numPr>
          <w:ilvl w:val="0"/>
          <w:numId w:val="0"/>
        </w:numPr>
        <w:rPr>
          <w:szCs w:val="22"/>
        </w:rPr>
      </w:pPr>
      <w:bookmarkStart w:id="20" w:name="_Toc99455307"/>
      <w:r w:rsidRPr="00AC4D9D">
        <w:rPr>
          <w:szCs w:val="22"/>
        </w:rPr>
        <w:t>Composición</w:t>
      </w:r>
      <w:bookmarkEnd w:id="20"/>
    </w:p>
    <w:p w14:paraId="5680E4D8" w14:textId="77777777" w:rsidR="00E067B1" w:rsidRPr="00E2373F" w:rsidRDefault="00E067B1" w:rsidP="00667BC9">
      <w:pPr>
        <w:spacing w:after="0" w:line="240" w:lineRule="auto"/>
        <w:ind w:left="360"/>
        <w:jc w:val="both"/>
        <w:rPr>
          <w:rFonts w:ascii="Times New Roman" w:hAnsi="Times New Roman"/>
          <w:b/>
          <w:sz w:val="24"/>
          <w:szCs w:val="24"/>
        </w:rPr>
      </w:pPr>
    </w:p>
    <w:p w14:paraId="7CE8E8CE" w14:textId="379F2CE8" w:rsidR="0013772F" w:rsidRDefault="000007B5" w:rsidP="00932CFF">
      <w:pPr>
        <w:spacing w:after="0" w:line="240" w:lineRule="auto"/>
        <w:jc w:val="both"/>
        <w:rPr>
          <w:rFonts w:ascii="Times New Roman" w:hAnsi="Times New Roman"/>
          <w:sz w:val="24"/>
          <w:szCs w:val="24"/>
        </w:rPr>
      </w:pPr>
      <w:r w:rsidRPr="000007B5">
        <w:rPr>
          <w:rFonts w:ascii="Times New Roman" w:hAnsi="Times New Roman"/>
          <w:sz w:val="24"/>
          <w:szCs w:val="24"/>
        </w:rPr>
        <w:t xml:space="preserve">La desagregación del efectivo y equivalentes al efectivo presentados en el estado de situación financiera individual al </w:t>
      </w:r>
      <w:r w:rsidR="00432519">
        <w:rPr>
          <w:rFonts w:ascii="Times New Roman" w:hAnsi="Times New Roman"/>
          <w:sz w:val="24"/>
          <w:szCs w:val="24"/>
        </w:rPr>
        <w:t>31 de marzo de 2022 y 31 de marzo de 2021</w:t>
      </w:r>
      <w:r w:rsidR="00EE5769">
        <w:rPr>
          <w:rFonts w:ascii="Times New Roman" w:hAnsi="Times New Roman"/>
          <w:sz w:val="24"/>
          <w:szCs w:val="24"/>
        </w:rPr>
        <w:t xml:space="preserve"> </w:t>
      </w:r>
      <w:r w:rsidRPr="000007B5">
        <w:rPr>
          <w:rFonts w:ascii="Times New Roman" w:hAnsi="Times New Roman"/>
          <w:sz w:val="24"/>
          <w:szCs w:val="24"/>
        </w:rPr>
        <w:t>es la siguiente:</w:t>
      </w:r>
    </w:p>
    <w:p w14:paraId="29AFA1BD" w14:textId="640EA738" w:rsidR="00EE5769" w:rsidRDefault="00432519" w:rsidP="00C1510C">
      <w:pPr>
        <w:spacing w:after="0" w:line="240" w:lineRule="auto"/>
        <w:jc w:val="center"/>
        <w:rPr>
          <w:rFonts w:ascii="Times New Roman" w:hAnsi="Times New Roman"/>
          <w:sz w:val="24"/>
          <w:szCs w:val="24"/>
        </w:rPr>
      </w:pPr>
      <w:r w:rsidRPr="00432519">
        <w:rPr>
          <w:noProof/>
        </w:rPr>
        <w:drawing>
          <wp:anchor distT="0" distB="0" distL="114300" distR="114300" simplePos="0" relativeHeight="252700672" behindDoc="1" locked="0" layoutInCell="1" allowOverlap="1" wp14:anchorId="7F4C6CC1" wp14:editId="3EEE73DE">
            <wp:simplePos x="0" y="0"/>
            <wp:positionH relativeFrom="column">
              <wp:posOffset>47625</wp:posOffset>
            </wp:positionH>
            <wp:positionV relativeFrom="paragraph">
              <wp:posOffset>105410</wp:posOffset>
            </wp:positionV>
            <wp:extent cx="5881370" cy="109029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1370" cy="1090295"/>
                    </a:xfrm>
                    <a:prstGeom prst="rect">
                      <a:avLst/>
                    </a:prstGeom>
                    <a:noFill/>
                    <a:ln>
                      <a:noFill/>
                    </a:ln>
                  </pic:spPr>
                </pic:pic>
              </a:graphicData>
            </a:graphic>
          </wp:anchor>
        </w:drawing>
      </w:r>
    </w:p>
    <w:p w14:paraId="0B078C5C" w14:textId="63FDED85" w:rsidR="000007B5" w:rsidRDefault="000007B5" w:rsidP="00667BC9">
      <w:pPr>
        <w:spacing w:after="0" w:line="240" w:lineRule="auto"/>
        <w:ind w:left="360"/>
        <w:jc w:val="both"/>
        <w:rPr>
          <w:rFonts w:ascii="Times New Roman" w:hAnsi="Times New Roman"/>
          <w:sz w:val="24"/>
          <w:szCs w:val="24"/>
        </w:rPr>
      </w:pPr>
    </w:p>
    <w:p w14:paraId="6EB6E293" w14:textId="014A6F61" w:rsidR="0013772F" w:rsidRDefault="0013772F" w:rsidP="00667BC9">
      <w:pPr>
        <w:spacing w:after="0" w:line="240" w:lineRule="auto"/>
        <w:ind w:left="360"/>
        <w:jc w:val="both"/>
        <w:rPr>
          <w:rFonts w:ascii="Times New Roman" w:hAnsi="Times New Roman"/>
          <w:sz w:val="24"/>
          <w:szCs w:val="24"/>
        </w:rPr>
      </w:pPr>
    </w:p>
    <w:p w14:paraId="325E4F51" w14:textId="2E1E2E0E" w:rsidR="0013772F" w:rsidRPr="00E2373F" w:rsidRDefault="0013772F" w:rsidP="00667BC9">
      <w:pPr>
        <w:spacing w:after="0" w:line="240" w:lineRule="auto"/>
        <w:ind w:left="360"/>
        <w:jc w:val="both"/>
        <w:rPr>
          <w:rFonts w:ascii="Times New Roman" w:hAnsi="Times New Roman"/>
          <w:sz w:val="24"/>
          <w:szCs w:val="24"/>
        </w:rPr>
      </w:pPr>
    </w:p>
    <w:p w14:paraId="63DAFC26" w14:textId="365B6F51" w:rsidR="00FA65CE" w:rsidRPr="00E2373F" w:rsidRDefault="00FA65CE" w:rsidP="00667BC9">
      <w:pPr>
        <w:spacing w:after="0" w:line="240" w:lineRule="auto"/>
        <w:ind w:left="360"/>
        <w:jc w:val="both"/>
        <w:rPr>
          <w:rFonts w:ascii="Times New Roman" w:hAnsi="Times New Roman"/>
          <w:sz w:val="24"/>
          <w:szCs w:val="24"/>
        </w:rPr>
      </w:pPr>
    </w:p>
    <w:p w14:paraId="63082DE5" w14:textId="4DDF28D3" w:rsidR="00E15CA9" w:rsidRPr="00E2373F" w:rsidRDefault="00E15CA9" w:rsidP="00667BC9">
      <w:pPr>
        <w:spacing w:after="0" w:line="240" w:lineRule="auto"/>
        <w:jc w:val="center"/>
        <w:rPr>
          <w:rFonts w:ascii="Times New Roman" w:hAnsi="Times New Roman"/>
          <w:sz w:val="24"/>
          <w:szCs w:val="24"/>
        </w:rPr>
      </w:pPr>
    </w:p>
    <w:p w14:paraId="4BD5A034" w14:textId="53EC2FE1" w:rsidR="00E15CA9" w:rsidRDefault="00E15CA9" w:rsidP="00667BC9">
      <w:pPr>
        <w:spacing w:after="0" w:line="240" w:lineRule="auto"/>
        <w:ind w:left="360"/>
        <w:jc w:val="both"/>
        <w:rPr>
          <w:rFonts w:ascii="Times New Roman" w:hAnsi="Times New Roman"/>
          <w:sz w:val="24"/>
          <w:szCs w:val="24"/>
        </w:rPr>
      </w:pPr>
    </w:p>
    <w:p w14:paraId="0B0E2389" w14:textId="77777777" w:rsidR="00EC1544" w:rsidRDefault="00EC1544" w:rsidP="00862C06">
      <w:pPr>
        <w:spacing w:after="0" w:line="240" w:lineRule="auto"/>
        <w:jc w:val="both"/>
        <w:rPr>
          <w:rFonts w:ascii="Times New Roman" w:hAnsi="Times New Roman"/>
          <w:sz w:val="24"/>
          <w:szCs w:val="24"/>
        </w:rPr>
      </w:pPr>
    </w:p>
    <w:p w14:paraId="07B3DB99" w14:textId="3BBE3543" w:rsidR="0013772F" w:rsidRDefault="000F3AB0" w:rsidP="00862C06">
      <w:pPr>
        <w:spacing w:after="0" w:line="240" w:lineRule="auto"/>
        <w:jc w:val="both"/>
        <w:rPr>
          <w:rFonts w:ascii="Times New Roman" w:hAnsi="Times New Roman"/>
          <w:sz w:val="24"/>
          <w:szCs w:val="24"/>
        </w:rPr>
      </w:pPr>
      <w:r w:rsidRPr="000F3AB0">
        <w:rPr>
          <w:rFonts w:ascii="Times New Roman" w:hAnsi="Times New Roman"/>
          <w:sz w:val="24"/>
          <w:szCs w:val="24"/>
        </w:rPr>
        <w:t>El efectivo y equivalentes de efectivo se compone de los saldos en efectivo y depósitos a la vista con vencimientos originales de tres meses o menos desde la fecha de adquisición que están sujetos a riesgo poco significativo de cambios en su valor razonable y son usados por el Icfes en la gestión de sus compromisos a corto plazo.</w:t>
      </w:r>
    </w:p>
    <w:p w14:paraId="19B70363" w14:textId="1D09B32D" w:rsidR="000F3AB0" w:rsidRDefault="000F3AB0" w:rsidP="00862C06">
      <w:pPr>
        <w:spacing w:after="0" w:line="240" w:lineRule="auto"/>
        <w:jc w:val="both"/>
        <w:rPr>
          <w:rFonts w:ascii="Times New Roman" w:hAnsi="Times New Roman"/>
          <w:sz w:val="24"/>
          <w:szCs w:val="24"/>
        </w:rPr>
      </w:pPr>
    </w:p>
    <w:p w14:paraId="182B9766" w14:textId="7C8DB39A" w:rsidR="000F3AB0" w:rsidRDefault="007831C9" w:rsidP="00862C06">
      <w:pPr>
        <w:spacing w:after="0" w:line="240" w:lineRule="auto"/>
        <w:jc w:val="both"/>
        <w:rPr>
          <w:rFonts w:ascii="Times New Roman" w:hAnsi="Times New Roman"/>
          <w:sz w:val="24"/>
          <w:szCs w:val="24"/>
        </w:rPr>
      </w:pPr>
      <w:r>
        <w:rPr>
          <w:rFonts w:ascii="Times New Roman" w:hAnsi="Times New Roman"/>
          <w:sz w:val="24"/>
          <w:szCs w:val="24"/>
        </w:rPr>
        <w:t xml:space="preserve">A </w:t>
      </w:r>
      <w:r w:rsidR="00432519">
        <w:rPr>
          <w:rFonts w:ascii="Times New Roman" w:hAnsi="Times New Roman"/>
          <w:sz w:val="24"/>
          <w:szCs w:val="24"/>
        </w:rPr>
        <w:t>marzo 2022</w:t>
      </w:r>
      <w:r w:rsidR="00B14916" w:rsidRPr="00B14916">
        <w:rPr>
          <w:rFonts w:ascii="Times New Roman" w:hAnsi="Times New Roman"/>
          <w:sz w:val="24"/>
          <w:szCs w:val="24"/>
        </w:rPr>
        <w:t xml:space="preserve"> están conciliadas las cuentas de ahorros y corrientes.</w:t>
      </w:r>
    </w:p>
    <w:p w14:paraId="7621E065" w14:textId="46393329" w:rsidR="00547377" w:rsidRDefault="00547377" w:rsidP="00667BC9">
      <w:pPr>
        <w:spacing w:after="0" w:line="240" w:lineRule="auto"/>
        <w:ind w:left="360"/>
        <w:jc w:val="both"/>
        <w:rPr>
          <w:rFonts w:ascii="Times New Roman" w:hAnsi="Times New Roman"/>
          <w:sz w:val="24"/>
          <w:szCs w:val="24"/>
        </w:rPr>
      </w:pPr>
    </w:p>
    <w:p w14:paraId="7A9F553B" w14:textId="4F00471D" w:rsidR="00C8685E" w:rsidRPr="00AC4D9D" w:rsidRDefault="008D49E8" w:rsidP="00425DA9">
      <w:pPr>
        <w:pStyle w:val="Ttulo2"/>
        <w:numPr>
          <w:ilvl w:val="1"/>
          <w:numId w:val="8"/>
        </w:numPr>
        <w:ind w:left="567" w:hanging="567"/>
        <w:rPr>
          <w:szCs w:val="22"/>
        </w:rPr>
      </w:pPr>
      <w:bookmarkStart w:id="21" w:name="_Toc99455308"/>
      <w:r w:rsidRPr="00AC4D9D">
        <w:rPr>
          <w:szCs w:val="22"/>
        </w:rPr>
        <w:t>Depósitos en instituciones financieras</w:t>
      </w:r>
      <w:bookmarkEnd w:id="21"/>
    </w:p>
    <w:p w14:paraId="43B52084" w14:textId="58B503AB" w:rsidR="00884265" w:rsidRDefault="00210FC5" w:rsidP="00B7238F">
      <w:pPr>
        <w:spacing w:after="0" w:line="240" w:lineRule="auto"/>
        <w:ind w:left="720"/>
        <w:jc w:val="both"/>
        <w:rPr>
          <w:rFonts w:ascii="Times New Roman" w:hAnsi="Times New Roman"/>
          <w:sz w:val="24"/>
          <w:szCs w:val="24"/>
        </w:rPr>
      </w:pPr>
      <w:r w:rsidRPr="00210FC5">
        <w:rPr>
          <w:noProof/>
        </w:rPr>
        <w:drawing>
          <wp:anchor distT="0" distB="0" distL="114300" distR="114300" simplePos="0" relativeHeight="252701696" behindDoc="1" locked="0" layoutInCell="1" allowOverlap="1" wp14:anchorId="393E85A3" wp14:editId="1C643DF1">
            <wp:simplePos x="0" y="0"/>
            <wp:positionH relativeFrom="column">
              <wp:posOffset>-47625</wp:posOffset>
            </wp:positionH>
            <wp:positionV relativeFrom="paragraph">
              <wp:posOffset>107315</wp:posOffset>
            </wp:positionV>
            <wp:extent cx="5881370" cy="1043940"/>
            <wp:effectExtent l="0" t="0" r="508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1370" cy="1043940"/>
                    </a:xfrm>
                    <a:prstGeom prst="rect">
                      <a:avLst/>
                    </a:prstGeom>
                    <a:noFill/>
                    <a:ln>
                      <a:noFill/>
                    </a:ln>
                  </pic:spPr>
                </pic:pic>
              </a:graphicData>
            </a:graphic>
          </wp:anchor>
        </w:drawing>
      </w:r>
    </w:p>
    <w:p w14:paraId="7C5595AD" w14:textId="097AFBBC" w:rsidR="00FA1094" w:rsidRPr="00E2373F" w:rsidRDefault="00FA1094" w:rsidP="00667BC9">
      <w:pPr>
        <w:spacing w:after="0" w:line="240" w:lineRule="auto"/>
        <w:jc w:val="center"/>
        <w:rPr>
          <w:rFonts w:ascii="Times New Roman" w:hAnsi="Times New Roman"/>
          <w:sz w:val="24"/>
          <w:szCs w:val="24"/>
        </w:rPr>
      </w:pPr>
    </w:p>
    <w:p w14:paraId="6ED97441" w14:textId="77777777" w:rsidR="00A90D2A" w:rsidRDefault="00A90D2A" w:rsidP="009844B6">
      <w:pPr>
        <w:spacing w:after="0" w:line="240" w:lineRule="auto"/>
        <w:jc w:val="both"/>
        <w:rPr>
          <w:rFonts w:ascii="Times New Roman" w:hAnsi="Times New Roman"/>
          <w:sz w:val="24"/>
          <w:szCs w:val="24"/>
        </w:rPr>
      </w:pPr>
    </w:p>
    <w:p w14:paraId="6D36D636" w14:textId="77777777" w:rsidR="00A90D2A" w:rsidRDefault="00A90D2A" w:rsidP="009844B6">
      <w:pPr>
        <w:spacing w:after="0" w:line="240" w:lineRule="auto"/>
        <w:jc w:val="both"/>
        <w:rPr>
          <w:rFonts w:ascii="Times New Roman" w:hAnsi="Times New Roman"/>
          <w:sz w:val="24"/>
          <w:szCs w:val="24"/>
        </w:rPr>
      </w:pPr>
    </w:p>
    <w:p w14:paraId="31365988" w14:textId="77777777" w:rsidR="00547377" w:rsidRDefault="00547377" w:rsidP="009844B6">
      <w:pPr>
        <w:spacing w:after="0" w:line="240" w:lineRule="auto"/>
        <w:jc w:val="both"/>
        <w:rPr>
          <w:rFonts w:ascii="Times New Roman" w:hAnsi="Times New Roman"/>
          <w:sz w:val="24"/>
          <w:szCs w:val="24"/>
        </w:rPr>
      </w:pPr>
    </w:p>
    <w:p w14:paraId="3F80D867" w14:textId="77777777" w:rsidR="00B7238F" w:rsidRDefault="00B7238F" w:rsidP="009844B6">
      <w:pPr>
        <w:spacing w:after="0" w:line="240" w:lineRule="auto"/>
        <w:jc w:val="both"/>
        <w:rPr>
          <w:rFonts w:ascii="Times New Roman" w:hAnsi="Times New Roman"/>
          <w:sz w:val="24"/>
          <w:szCs w:val="24"/>
        </w:rPr>
      </w:pPr>
    </w:p>
    <w:p w14:paraId="2CA4C6F6" w14:textId="77777777" w:rsidR="00B7238F" w:rsidRDefault="00B7238F" w:rsidP="009844B6">
      <w:pPr>
        <w:spacing w:after="0" w:line="240" w:lineRule="auto"/>
        <w:jc w:val="both"/>
        <w:rPr>
          <w:rFonts w:ascii="Times New Roman" w:hAnsi="Times New Roman"/>
          <w:sz w:val="24"/>
          <w:szCs w:val="24"/>
        </w:rPr>
      </w:pPr>
    </w:p>
    <w:p w14:paraId="5762D4C6" w14:textId="7761E8B8" w:rsidR="009844B6" w:rsidRPr="009844B6" w:rsidRDefault="009844B6" w:rsidP="009844B6">
      <w:pPr>
        <w:spacing w:after="0" w:line="240" w:lineRule="auto"/>
        <w:jc w:val="both"/>
        <w:rPr>
          <w:rFonts w:ascii="Times New Roman" w:hAnsi="Times New Roman"/>
          <w:sz w:val="24"/>
          <w:szCs w:val="24"/>
        </w:rPr>
      </w:pPr>
      <w:r w:rsidRPr="009844B6">
        <w:rPr>
          <w:rFonts w:ascii="Times New Roman" w:hAnsi="Times New Roman"/>
          <w:sz w:val="24"/>
          <w:szCs w:val="24"/>
        </w:rPr>
        <w:t xml:space="preserve">La partida de efectivo y equivalentes del efectivo en cuentas bancarias de la entidad reflejada en boletín de </w:t>
      </w:r>
      <w:r>
        <w:rPr>
          <w:rFonts w:ascii="Times New Roman" w:hAnsi="Times New Roman"/>
          <w:sz w:val="24"/>
          <w:szCs w:val="24"/>
        </w:rPr>
        <w:t>t</w:t>
      </w:r>
      <w:r w:rsidRPr="009844B6">
        <w:rPr>
          <w:rFonts w:ascii="Times New Roman" w:hAnsi="Times New Roman"/>
          <w:sz w:val="24"/>
          <w:szCs w:val="24"/>
        </w:rPr>
        <w:t>esorería al cierre del ejercicio contable.</w:t>
      </w:r>
    </w:p>
    <w:p w14:paraId="05899383" w14:textId="77777777" w:rsidR="009844B6" w:rsidRPr="009844B6" w:rsidRDefault="009844B6" w:rsidP="009844B6">
      <w:pPr>
        <w:spacing w:after="0" w:line="240" w:lineRule="auto"/>
        <w:jc w:val="both"/>
        <w:rPr>
          <w:rFonts w:ascii="Times New Roman" w:hAnsi="Times New Roman"/>
          <w:sz w:val="24"/>
          <w:szCs w:val="24"/>
        </w:rPr>
      </w:pPr>
    </w:p>
    <w:p w14:paraId="09ECCB6E" w14:textId="39515C4D" w:rsidR="009844B6" w:rsidRPr="009844B6" w:rsidRDefault="009844B6" w:rsidP="009844B6">
      <w:pPr>
        <w:spacing w:after="0" w:line="240" w:lineRule="auto"/>
        <w:jc w:val="both"/>
        <w:rPr>
          <w:rFonts w:ascii="Times New Roman" w:hAnsi="Times New Roman"/>
          <w:sz w:val="24"/>
          <w:szCs w:val="24"/>
        </w:rPr>
      </w:pPr>
      <w:r w:rsidRPr="009844B6">
        <w:rPr>
          <w:rFonts w:ascii="Times New Roman" w:hAnsi="Times New Roman"/>
          <w:sz w:val="24"/>
          <w:szCs w:val="24"/>
        </w:rPr>
        <w:t>El Instituto tiene acordada la reciprocidad como exoneración del costo de los servicios bancarios con el banco Davivienda</w:t>
      </w:r>
      <w:r w:rsidR="00584536">
        <w:rPr>
          <w:rFonts w:ascii="Times New Roman" w:hAnsi="Times New Roman"/>
          <w:sz w:val="24"/>
          <w:szCs w:val="24"/>
        </w:rPr>
        <w:t xml:space="preserve"> y con el Banco de Bogotá</w:t>
      </w:r>
      <w:r w:rsidRPr="009844B6">
        <w:rPr>
          <w:rFonts w:ascii="Times New Roman" w:hAnsi="Times New Roman"/>
          <w:sz w:val="24"/>
          <w:szCs w:val="24"/>
        </w:rPr>
        <w:t>.</w:t>
      </w:r>
    </w:p>
    <w:p w14:paraId="5C44EF56" w14:textId="77777777" w:rsidR="009844B6" w:rsidRPr="009844B6" w:rsidRDefault="009844B6" w:rsidP="009844B6">
      <w:pPr>
        <w:spacing w:after="0" w:line="240" w:lineRule="auto"/>
        <w:jc w:val="both"/>
        <w:rPr>
          <w:rFonts w:ascii="Times New Roman" w:hAnsi="Times New Roman"/>
          <w:sz w:val="24"/>
          <w:szCs w:val="24"/>
        </w:rPr>
      </w:pPr>
    </w:p>
    <w:p w14:paraId="1AC72931" w14:textId="2001B18B" w:rsidR="00754F9F" w:rsidRDefault="007831C9" w:rsidP="00271F15">
      <w:pPr>
        <w:spacing w:after="0" w:line="240" w:lineRule="auto"/>
        <w:jc w:val="both"/>
        <w:rPr>
          <w:rFonts w:ascii="Times New Roman" w:hAnsi="Times New Roman"/>
          <w:sz w:val="24"/>
          <w:szCs w:val="24"/>
        </w:rPr>
      </w:pPr>
      <w:r>
        <w:rPr>
          <w:rFonts w:ascii="Times New Roman" w:hAnsi="Times New Roman"/>
          <w:sz w:val="24"/>
          <w:szCs w:val="24"/>
        </w:rPr>
        <w:t xml:space="preserve">Al </w:t>
      </w:r>
      <w:r w:rsidR="00210FC5">
        <w:rPr>
          <w:rFonts w:ascii="Times New Roman" w:hAnsi="Times New Roman"/>
          <w:sz w:val="24"/>
          <w:szCs w:val="24"/>
        </w:rPr>
        <w:t>31 de marzo de 2022</w:t>
      </w:r>
      <w:r w:rsidR="009844B6" w:rsidRPr="009844B6">
        <w:rPr>
          <w:rFonts w:ascii="Times New Roman" w:hAnsi="Times New Roman"/>
          <w:sz w:val="24"/>
          <w:szCs w:val="24"/>
        </w:rPr>
        <w:t xml:space="preserve"> no existen restricciones (Embargos, pignoraciones, gravámenes) sobre el efectivo y el equivalente al efectivo, que permitan su retiro o uso.</w:t>
      </w:r>
    </w:p>
    <w:p w14:paraId="7799C616" w14:textId="61511FE5" w:rsidR="00252C43" w:rsidRDefault="00252C43" w:rsidP="00271F15">
      <w:pPr>
        <w:spacing w:after="0" w:line="240" w:lineRule="auto"/>
        <w:jc w:val="both"/>
        <w:rPr>
          <w:rFonts w:ascii="Times New Roman" w:hAnsi="Times New Roman"/>
          <w:sz w:val="24"/>
          <w:szCs w:val="24"/>
        </w:rPr>
      </w:pPr>
    </w:p>
    <w:p w14:paraId="00416F3C" w14:textId="01D6543F" w:rsidR="00252C43" w:rsidRPr="00E2373F" w:rsidRDefault="007831C9" w:rsidP="00271F15">
      <w:pPr>
        <w:spacing w:after="0" w:line="240" w:lineRule="auto"/>
        <w:jc w:val="both"/>
        <w:rPr>
          <w:rFonts w:ascii="Times New Roman" w:hAnsi="Times New Roman"/>
          <w:sz w:val="24"/>
          <w:szCs w:val="24"/>
        </w:rPr>
      </w:pPr>
      <w:r>
        <w:rPr>
          <w:rFonts w:ascii="Times New Roman" w:hAnsi="Times New Roman"/>
          <w:sz w:val="24"/>
          <w:szCs w:val="24"/>
        </w:rPr>
        <w:t xml:space="preserve">A </w:t>
      </w:r>
      <w:r w:rsidR="00210FC5">
        <w:rPr>
          <w:rFonts w:ascii="Times New Roman" w:hAnsi="Times New Roman"/>
          <w:sz w:val="24"/>
          <w:szCs w:val="24"/>
        </w:rPr>
        <w:t>marzo del año 2022</w:t>
      </w:r>
      <w:r w:rsidR="00252C43" w:rsidRPr="00252C43">
        <w:rPr>
          <w:rFonts w:ascii="Times New Roman" w:hAnsi="Times New Roman"/>
          <w:sz w:val="24"/>
          <w:szCs w:val="24"/>
        </w:rPr>
        <w:t xml:space="preserve">, la entidad obtuvo ingresos financieros por rendimientos en </w:t>
      </w:r>
      <w:r w:rsidR="00252C43">
        <w:rPr>
          <w:rFonts w:ascii="Times New Roman" w:hAnsi="Times New Roman"/>
          <w:sz w:val="24"/>
          <w:szCs w:val="24"/>
        </w:rPr>
        <w:t xml:space="preserve">instituciones financieras (cuentas de ahorro) </w:t>
      </w:r>
      <w:r w:rsidR="00252C43" w:rsidRPr="00252C43">
        <w:rPr>
          <w:rFonts w:ascii="Times New Roman" w:hAnsi="Times New Roman"/>
          <w:sz w:val="24"/>
          <w:szCs w:val="24"/>
        </w:rPr>
        <w:t>por $</w:t>
      </w:r>
      <w:r w:rsidR="00210FC5">
        <w:rPr>
          <w:rFonts w:ascii="Times New Roman" w:hAnsi="Times New Roman"/>
          <w:sz w:val="24"/>
          <w:szCs w:val="24"/>
        </w:rPr>
        <w:t>191</w:t>
      </w:r>
      <w:r w:rsidR="00252C43" w:rsidRPr="00252C43">
        <w:rPr>
          <w:rFonts w:ascii="Times New Roman" w:hAnsi="Times New Roman"/>
          <w:sz w:val="24"/>
          <w:szCs w:val="24"/>
        </w:rPr>
        <w:t>.</w:t>
      </w:r>
      <w:r w:rsidR="00F35CB4">
        <w:rPr>
          <w:rFonts w:ascii="Times New Roman" w:hAnsi="Times New Roman"/>
          <w:sz w:val="24"/>
          <w:szCs w:val="24"/>
        </w:rPr>
        <w:t>9</w:t>
      </w:r>
      <w:r w:rsidR="00210FC5">
        <w:rPr>
          <w:rFonts w:ascii="Times New Roman" w:hAnsi="Times New Roman"/>
          <w:sz w:val="24"/>
          <w:szCs w:val="24"/>
        </w:rPr>
        <w:t>17</w:t>
      </w:r>
      <w:r w:rsidR="00252C43" w:rsidRPr="00252C43">
        <w:rPr>
          <w:rFonts w:ascii="Times New Roman" w:hAnsi="Times New Roman"/>
          <w:sz w:val="24"/>
          <w:szCs w:val="24"/>
        </w:rPr>
        <w:t>.</w:t>
      </w:r>
      <w:r w:rsidR="00210FC5">
        <w:rPr>
          <w:rFonts w:ascii="Times New Roman" w:hAnsi="Times New Roman"/>
          <w:sz w:val="24"/>
          <w:szCs w:val="24"/>
        </w:rPr>
        <w:t>370</w:t>
      </w:r>
      <w:r w:rsidR="00252C43" w:rsidRPr="00252C43">
        <w:rPr>
          <w:rFonts w:ascii="Times New Roman" w:hAnsi="Times New Roman"/>
          <w:sz w:val="24"/>
          <w:szCs w:val="24"/>
        </w:rPr>
        <w:t xml:space="preserve"> pesos colombianos (Ver Nota 28.2).</w:t>
      </w:r>
    </w:p>
    <w:p w14:paraId="15CFE9A3" w14:textId="32487D5A" w:rsidR="00C8685E" w:rsidRDefault="00754F9F" w:rsidP="00754F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ED9D03" w14:textId="368094BD" w:rsidR="00754F9F" w:rsidRDefault="00513C76" w:rsidP="00754F9F">
      <w:pPr>
        <w:spacing w:after="0" w:line="240" w:lineRule="auto"/>
        <w:jc w:val="both"/>
        <w:rPr>
          <w:rFonts w:ascii="Times New Roman" w:hAnsi="Times New Roman"/>
          <w:sz w:val="24"/>
          <w:szCs w:val="24"/>
        </w:rPr>
      </w:pPr>
      <w:r>
        <w:rPr>
          <w:rFonts w:ascii="Times New Roman" w:hAnsi="Times New Roman"/>
          <w:sz w:val="24"/>
          <w:szCs w:val="24"/>
        </w:rPr>
        <w:t xml:space="preserve">La tasa promedio de los rendimientos financieros de las cuentas de ahorros es del </w:t>
      </w:r>
      <w:r w:rsidR="00210FC5">
        <w:rPr>
          <w:rFonts w:ascii="Times New Roman" w:hAnsi="Times New Roman"/>
          <w:sz w:val="24"/>
          <w:szCs w:val="24"/>
        </w:rPr>
        <w:t>1</w:t>
      </w:r>
      <w:r>
        <w:rPr>
          <w:rFonts w:ascii="Times New Roman" w:hAnsi="Times New Roman"/>
          <w:sz w:val="24"/>
          <w:szCs w:val="24"/>
        </w:rPr>
        <w:t>,</w:t>
      </w:r>
      <w:r w:rsidR="00210FC5">
        <w:rPr>
          <w:rFonts w:ascii="Times New Roman" w:hAnsi="Times New Roman"/>
          <w:sz w:val="24"/>
          <w:szCs w:val="24"/>
        </w:rPr>
        <w:t>7</w:t>
      </w:r>
      <w:r>
        <w:rPr>
          <w:rFonts w:ascii="Times New Roman" w:hAnsi="Times New Roman"/>
          <w:sz w:val="24"/>
          <w:szCs w:val="24"/>
        </w:rPr>
        <w:t>%.</w:t>
      </w:r>
    </w:p>
    <w:p w14:paraId="798A8AB1" w14:textId="77777777" w:rsidR="00C815A3" w:rsidRDefault="00C815A3" w:rsidP="00754F9F">
      <w:pPr>
        <w:spacing w:after="0" w:line="240" w:lineRule="auto"/>
        <w:jc w:val="both"/>
        <w:rPr>
          <w:rFonts w:ascii="Times New Roman" w:hAnsi="Times New Roman"/>
          <w:sz w:val="24"/>
          <w:szCs w:val="24"/>
        </w:rPr>
      </w:pPr>
    </w:p>
    <w:p w14:paraId="1FE4B563" w14:textId="17CD52E7" w:rsidR="00513C76" w:rsidRDefault="00513C76" w:rsidP="00754F9F">
      <w:pPr>
        <w:spacing w:after="0" w:line="240" w:lineRule="auto"/>
        <w:jc w:val="both"/>
        <w:rPr>
          <w:rFonts w:ascii="Times New Roman" w:hAnsi="Times New Roman"/>
          <w:sz w:val="24"/>
          <w:szCs w:val="24"/>
        </w:rPr>
      </w:pPr>
    </w:p>
    <w:p w14:paraId="3AF22AD4" w14:textId="77777777" w:rsidR="009D5A5B" w:rsidRDefault="009D5A5B" w:rsidP="00754F9F">
      <w:pPr>
        <w:spacing w:after="0" w:line="240" w:lineRule="auto"/>
        <w:jc w:val="both"/>
        <w:rPr>
          <w:rFonts w:ascii="Times New Roman" w:hAnsi="Times New Roman"/>
          <w:sz w:val="24"/>
          <w:szCs w:val="24"/>
        </w:rPr>
      </w:pPr>
    </w:p>
    <w:p w14:paraId="160FE1B5" w14:textId="77777777" w:rsidR="00307589" w:rsidRDefault="00307589" w:rsidP="00073315">
      <w:pPr>
        <w:pStyle w:val="Ttulo1"/>
      </w:pPr>
    </w:p>
    <w:p w14:paraId="784A82D8" w14:textId="447D4D6B" w:rsidR="00BF7EB3" w:rsidRPr="00E2373F" w:rsidRDefault="00BF7EB3" w:rsidP="00073315">
      <w:pPr>
        <w:pStyle w:val="Ttulo1"/>
      </w:pPr>
      <w:bookmarkStart w:id="22" w:name="_Toc99455309"/>
      <w:r w:rsidRPr="00E2373F">
        <w:t>NOTA 6. INVERSIONES E INSTRUMENTOS DERIVADOS</w:t>
      </w:r>
      <w:bookmarkEnd w:id="22"/>
    </w:p>
    <w:p w14:paraId="5D8A9DB1" w14:textId="77777777" w:rsidR="003527EB" w:rsidRPr="00E2373F" w:rsidRDefault="003527EB" w:rsidP="00CF65F2">
      <w:pPr>
        <w:spacing w:after="0" w:line="240" w:lineRule="auto"/>
        <w:jc w:val="both"/>
        <w:rPr>
          <w:rFonts w:ascii="Times New Roman" w:hAnsi="Times New Roman"/>
          <w:b/>
          <w:sz w:val="24"/>
          <w:szCs w:val="24"/>
        </w:rPr>
      </w:pPr>
    </w:p>
    <w:p w14:paraId="29D067A5" w14:textId="77777777" w:rsidR="00BF7EB3" w:rsidRPr="00AC4D9D" w:rsidRDefault="00E067B1" w:rsidP="00CF65F2">
      <w:pPr>
        <w:pStyle w:val="Ttulo2"/>
        <w:numPr>
          <w:ilvl w:val="0"/>
          <w:numId w:val="0"/>
        </w:numPr>
        <w:spacing w:line="240" w:lineRule="auto"/>
        <w:rPr>
          <w:szCs w:val="22"/>
        </w:rPr>
      </w:pPr>
      <w:bookmarkStart w:id="23" w:name="_Toc99455310"/>
      <w:r w:rsidRPr="00AC4D9D">
        <w:rPr>
          <w:szCs w:val="22"/>
        </w:rPr>
        <w:t>Composición</w:t>
      </w:r>
      <w:bookmarkEnd w:id="23"/>
    </w:p>
    <w:p w14:paraId="3B24DE56" w14:textId="77777777" w:rsidR="0061060A" w:rsidRPr="00E2373F" w:rsidRDefault="0061060A" w:rsidP="00CF65F2">
      <w:pPr>
        <w:spacing w:after="0" w:line="240" w:lineRule="auto"/>
        <w:jc w:val="both"/>
        <w:rPr>
          <w:rFonts w:ascii="Times New Roman" w:hAnsi="Times New Roman"/>
          <w:b/>
          <w:sz w:val="24"/>
          <w:szCs w:val="24"/>
        </w:rPr>
      </w:pPr>
    </w:p>
    <w:p w14:paraId="10192540" w14:textId="0D75E966" w:rsidR="00B55F40" w:rsidRDefault="00932CFF" w:rsidP="00932CFF">
      <w:pPr>
        <w:spacing w:after="0" w:line="240" w:lineRule="auto"/>
        <w:jc w:val="both"/>
        <w:rPr>
          <w:rFonts w:ascii="Times New Roman" w:hAnsi="Times New Roman"/>
          <w:sz w:val="24"/>
          <w:szCs w:val="24"/>
        </w:rPr>
      </w:pPr>
      <w:r w:rsidRPr="00932CFF">
        <w:rPr>
          <w:rFonts w:ascii="Times New Roman" w:hAnsi="Times New Roman"/>
          <w:sz w:val="24"/>
          <w:szCs w:val="24"/>
        </w:rPr>
        <w:t xml:space="preserve">La desagregación de las inversiones de administración de liquidez presentadas en el estado de situación financiera individual al </w:t>
      </w:r>
      <w:r w:rsidR="00432519">
        <w:rPr>
          <w:rFonts w:ascii="Times New Roman" w:hAnsi="Times New Roman"/>
          <w:sz w:val="24"/>
          <w:szCs w:val="24"/>
        </w:rPr>
        <w:t>31 de marzo de 2022 y 31 de marzo de 2021</w:t>
      </w:r>
      <w:r w:rsidR="0054117E">
        <w:rPr>
          <w:rFonts w:ascii="Times New Roman" w:hAnsi="Times New Roman"/>
          <w:sz w:val="24"/>
          <w:szCs w:val="24"/>
        </w:rPr>
        <w:t xml:space="preserve"> </w:t>
      </w:r>
      <w:r w:rsidRPr="00932CFF">
        <w:rPr>
          <w:rFonts w:ascii="Times New Roman" w:hAnsi="Times New Roman"/>
          <w:sz w:val="24"/>
          <w:szCs w:val="24"/>
        </w:rPr>
        <w:t>es la siguiente:</w:t>
      </w:r>
    </w:p>
    <w:p w14:paraId="2FB6CDB6" w14:textId="039EE074" w:rsidR="009821CC" w:rsidRDefault="003D718C" w:rsidP="00AC6173">
      <w:pPr>
        <w:spacing w:after="0" w:line="240" w:lineRule="auto"/>
        <w:jc w:val="both"/>
        <w:rPr>
          <w:noProof/>
        </w:rPr>
      </w:pPr>
      <w:r w:rsidRPr="003D718C">
        <w:rPr>
          <w:noProof/>
        </w:rPr>
        <w:drawing>
          <wp:anchor distT="0" distB="0" distL="114300" distR="114300" simplePos="0" relativeHeight="252702720" behindDoc="1" locked="0" layoutInCell="1" allowOverlap="1" wp14:anchorId="2723287E" wp14:editId="62057BE1">
            <wp:simplePos x="0" y="0"/>
            <wp:positionH relativeFrom="column">
              <wp:posOffset>0</wp:posOffset>
            </wp:positionH>
            <wp:positionV relativeFrom="paragraph">
              <wp:posOffset>110490</wp:posOffset>
            </wp:positionV>
            <wp:extent cx="5881370" cy="1610360"/>
            <wp:effectExtent l="0" t="0" r="508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1610360"/>
                    </a:xfrm>
                    <a:prstGeom prst="rect">
                      <a:avLst/>
                    </a:prstGeom>
                    <a:noFill/>
                    <a:ln>
                      <a:noFill/>
                    </a:ln>
                  </pic:spPr>
                </pic:pic>
              </a:graphicData>
            </a:graphic>
          </wp:anchor>
        </w:drawing>
      </w:r>
    </w:p>
    <w:p w14:paraId="0558A070" w14:textId="2FA311F8" w:rsidR="00CF65F2" w:rsidRPr="00E2373F" w:rsidRDefault="00CF65F2" w:rsidP="00AC6173">
      <w:pPr>
        <w:spacing w:after="0" w:line="240" w:lineRule="auto"/>
        <w:jc w:val="both"/>
        <w:rPr>
          <w:rFonts w:ascii="Times New Roman" w:hAnsi="Times New Roman"/>
          <w:sz w:val="24"/>
          <w:szCs w:val="24"/>
        </w:rPr>
      </w:pPr>
    </w:p>
    <w:p w14:paraId="12FE8135" w14:textId="66424EFE" w:rsidR="00B55F40" w:rsidRDefault="00B55F40" w:rsidP="00667BC9">
      <w:pPr>
        <w:pStyle w:val="Prrafodelista"/>
        <w:spacing w:after="0" w:line="240" w:lineRule="auto"/>
        <w:jc w:val="both"/>
        <w:rPr>
          <w:rFonts w:ascii="Times New Roman" w:hAnsi="Times New Roman"/>
          <w:sz w:val="24"/>
          <w:szCs w:val="24"/>
        </w:rPr>
      </w:pPr>
    </w:p>
    <w:p w14:paraId="6FB2F69D" w14:textId="66852ACE" w:rsidR="009029E9" w:rsidRDefault="009029E9" w:rsidP="00667BC9">
      <w:pPr>
        <w:pStyle w:val="Prrafodelista"/>
        <w:spacing w:after="0" w:line="240" w:lineRule="auto"/>
        <w:jc w:val="both"/>
        <w:rPr>
          <w:rFonts w:ascii="Times New Roman" w:hAnsi="Times New Roman"/>
          <w:sz w:val="24"/>
          <w:szCs w:val="24"/>
        </w:rPr>
      </w:pPr>
    </w:p>
    <w:p w14:paraId="0126221C" w14:textId="531E9642" w:rsidR="009029E9" w:rsidRDefault="009029E9" w:rsidP="00667BC9">
      <w:pPr>
        <w:pStyle w:val="Prrafodelista"/>
        <w:spacing w:after="0" w:line="240" w:lineRule="auto"/>
        <w:jc w:val="both"/>
        <w:rPr>
          <w:rFonts w:ascii="Times New Roman" w:hAnsi="Times New Roman"/>
          <w:sz w:val="24"/>
          <w:szCs w:val="24"/>
        </w:rPr>
      </w:pPr>
    </w:p>
    <w:p w14:paraId="3310A64A" w14:textId="36637985" w:rsidR="00EC5CFA" w:rsidRDefault="00EC5CFA" w:rsidP="00DF4CE0">
      <w:pPr>
        <w:spacing w:after="0" w:line="240" w:lineRule="auto"/>
        <w:jc w:val="both"/>
        <w:rPr>
          <w:rFonts w:ascii="Times New Roman" w:hAnsi="Times New Roman"/>
          <w:sz w:val="24"/>
          <w:szCs w:val="24"/>
        </w:rPr>
      </w:pPr>
    </w:p>
    <w:p w14:paraId="62C25806" w14:textId="658382B9" w:rsidR="00271F15" w:rsidRDefault="00271F15" w:rsidP="00DF4CE0">
      <w:pPr>
        <w:spacing w:after="0" w:line="240" w:lineRule="auto"/>
        <w:jc w:val="both"/>
        <w:rPr>
          <w:rFonts w:ascii="Times New Roman" w:hAnsi="Times New Roman"/>
          <w:sz w:val="24"/>
          <w:szCs w:val="24"/>
        </w:rPr>
      </w:pPr>
    </w:p>
    <w:p w14:paraId="64F9D470" w14:textId="77777777" w:rsidR="00443C68" w:rsidRDefault="00443C68" w:rsidP="00DF4CE0">
      <w:pPr>
        <w:spacing w:after="0" w:line="240" w:lineRule="auto"/>
        <w:jc w:val="both"/>
        <w:rPr>
          <w:rFonts w:ascii="Times New Roman" w:hAnsi="Times New Roman"/>
          <w:sz w:val="24"/>
          <w:szCs w:val="24"/>
        </w:rPr>
      </w:pPr>
    </w:p>
    <w:p w14:paraId="442E7197" w14:textId="77777777" w:rsidR="00443C68" w:rsidRDefault="00443C68" w:rsidP="00DF4CE0">
      <w:pPr>
        <w:spacing w:after="0" w:line="240" w:lineRule="auto"/>
        <w:jc w:val="both"/>
        <w:rPr>
          <w:rFonts w:ascii="Times New Roman" w:hAnsi="Times New Roman"/>
          <w:sz w:val="24"/>
          <w:szCs w:val="24"/>
        </w:rPr>
      </w:pPr>
    </w:p>
    <w:p w14:paraId="782B80DE" w14:textId="77777777" w:rsidR="00A21CFA" w:rsidRDefault="00A21CFA" w:rsidP="00DF4CE0">
      <w:pPr>
        <w:spacing w:after="0" w:line="240" w:lineRule="auto"/>
        <w:jc w:val="both"/>
        <w:rPr>
          <w:rFonts w:ascii="Times New Roman" w:hAnsi="Times New Roman"/>
          <w:sz w:val="24"/>
          <w:szCs w:val="24"/>
        </w:rPr>
      </w:pPr>
    </w:p>
    <w:p w14:paraId="0892069C" w14:textId="0E5BF0A4" w:rsidR="00DF4CE0" w:rsidRPr="00DF4CE0" w:rsidRDefault="00DF4CE0" w:rsidP="00DF4CE0">
      <w:pPr>
        <w:spacing w:after="0" w:line="240" w:lineRule="auto"/>
        <w:jc w:val="both"/>
        <w:rPr>
          <w:rFonts w:ascii="Times New Roman" w:hAnsi="Times New Roman"/>
          <w:sz w:val="24"/>
          <w:szCs w:val="24"/>
        </w:rPr>
      </w:pPr>
      <w:r w:rsidRPr="00DF4CE0">
        <w:rPr>
          <w:rFonts w:ascii="Times New Roman" w:hAnsi="Times New Roman"/>
          <w:sz w:val="24"/>
          <w:szCs w:val="24"/>
        </w:rPr>
        <w:t>Las inversiones de renta fija representadas en TES emitidos por el Ministerio de Hacienda y Crédito Público en moneda local.</w:t>
      </w:r>
    </w:p>
    <w:p w14:paraId="65144285" w14:textId="77777777" w:rsidR="00DF4CE0" w:rsidRPr="00DF4CE0" w:rsidRDefault="00DF4CE0" w:rsidP="00DF4CE0">
      <w:pPr>
        <w:spacing w:after="0" w:line="240" w:lineRule="auto"/>
        <w:jc w:val="both"/>
        <w:rPr>
          <w:rFonts w:ascii="Times New Roman" w:hAnsi="Times New Roman"/>
          <w:sz w:val="24"/>
          <w:szCs w:val="24"/>
        </w:rPr>
      </w:pPr>
    </w:p>
    <w:p w14:paraId="5548DCD4" w14:textId="15B5F30B" w:rsidR="00DF4CE0" w:rsidRDefault="00DF4CE0" w:rsidP="00DF4CE0">
      <w:pPr>
        <w:spacing w:after="0" w:line="240" w:lineRule="auto"/>
        <w:jc w:val="both"/>
        <w:rPr>
          <w:rFonts w:ascii="Times New Roman" w:hAnsi="Times New Roman"/>
          <w:sz w:val="24"/>
          <w:szCs w:val="24"/>
        </w:rPr>
      </w:pPr>
      <w:r w:rsidRPr="00DF4CE0">
        <w:rPr>
          <w:rFonts w:ascii="Times New Roman" w:hAnsi="Times New Roman"/>
          <w:sz w:val="24"/>
          <w:szCs w:val="24"/>
        </w:rPr>
        <w:t xml:space="preserve">Estas inversiones están constituidas de conformidad con las directrices de la Dirección del Tesoro Nacional para los excedentes de liquidez de las Empresas Industriales y Comerciales del Estado del orden nacional y las Sociedades de Economía Mixta, con régimen de Empresas Industriales y Comerciales del Estado, dedicadas a actividades no financieras y asimiladas a esta, según capítulo II del decreto 1525 de 2008; modificado por el decreto 1068 de </w:t>
      </w:r>
      <w:r w:rsidR="005B1357">
        <w:rPr>
          <w:rFonts w:ascii="Times New Roman" w:hAnsi="Times New Roman"/>
          <w:sz w:val="24"/>
          <w:szCs w:val="24"/>
        </w:rPr>
        <w:t>junio</w:t>
      </w:r>
      <w:r w:rsidRPr="00DF4CE0">
        <w:rPr>
          <w:rFonts w:ascii="Times New Roman" w:hAnsi="Times New Roman"/>
          <w:sz w:val="24"/>
          <w:szCs w:val="24"/>
        </w:rPr>
        <w:t xml:space="preserve"> de 2015 para efecto de valoración. El Banco Davivienda actúa como intermediario financiero del Icfes para realizar transacciones con el Depósito Central de Valores – DCV, del Banco de la Republica.</w:t>
      </w:r>
    </w:p>
    <w:p w14:paraId="0039AC2A" w14:textId="77777777" w:rsidR="00443C68" w:rsidRDefault="00443C68" w:rsidP="00DF4CE0">
      <w:pPr>
        <w:spacing w:after="0" w:line="240" w:lineRule="auto"/>
        <w:jc w:val="both"/>
        <w:rPr>
          <w:rFonts w:ascii="Times New Roman" w:hAnsi="Times New Roman"/>
          <w:sz w:val="24"/>
          <w:szCs w:val="24"/>
        </w:rPr>
      </w:pPr>
    </w:p>
    <w:p w14:paraId="228A35FE" w14:textId="5C1BB836" w:rsidR="00C23217" w:rsidRDefault="00DF4CE0" w:rsidP="00DF4CE0">
      <w:pPr>
        <w:spacing w:after="0" w:line="240" w:lineRule="auto"/>
        <w:jc w:val="both"/>
        <w:rPr>
          <w:rFonts w:ascii="Times New Roman" w:hAnsi="Times New Roman"/>
          <w:sz w:val="24"/>
          <w:szCs w:val="24"/>
        </w:rPr>
      </w:pPr>
      <w:r w:rsidRPr="00DF4CE0">
        <w:rPr>
          <w:rFonts w:ascii="Times New Roman" w:hAnsi="Times New Roman"/>
          <w:sz w:val="24"/>
          <w:szCs w:val="24"/>
        </w:rPr>
        <w:t xml:space="preserve">Las inversiones de administración de liquidez corresponden a inversiones en TES y en Certificados de Depósito a Término (CDT), adquiridos </w:t>
      </w:r>
      <w:r w:rsidR="00103339">
        <w:rPr>
          <w:rFonts w:ascii="Times New Roman" w:hAnsi="Times New Roman"/>
          <w:sz w:val="24"/>
          <w:szCs w:val="24"/>
        </w:rPr>
        <w:t>a</w:t>
      </w:r>
      <w:r w:rsidR="007831C9">
        <w:rPr>
          <w:rFonts w:ascii="Times New Roman" w:hAnsi="Times New Roman"/>
          <w:sz w:val="24"/>
          <w:szCs w:val="24"/>
        </w:rPr>
        <w:t xml:space="preserve">l </w:t>
      </w:r>
      <w:r w:rsidR="003D718C">
        <w:rPr>
          <w:rFonts w:ascii="Times New Roman" w:hAnsi="Times New Roman"/>
          <w:sz w:val="24"/>
          <w:szCs w:val="24"/>
        </w:rPr>
        <w:t>31 de marzo 2022</w:t>
      </w:r>
      <w:r w:rsidRPr="00DF4CE0">
        <w:rPr>
          <w:rFonts w:ascii="Times New Roman" w:hAnsi="Times New Roman"/>
          <w:sz w:val="24"/>
          <w:szCs w:val="24"/>
        </w:rPr>
        <w:t xml:space="preserve">. La clasificación de estas inversiones se ubica en la categoría de costo amortizado teniendo en cuenta la política de gestión de tesorería, la cual prevé mantener las inversiones hasta el vencimiento. </w:t>
      </w:r>
    </w:p>
    <w:p w14:paraId="3B502778" w14:textId="77777777" w:rsidR="00C23217" w:rsidRDefault="00C23217" w:rsidP="00DF4CE0">
      <w:pPr>
        <w:spacing w:after="0" w:line="240" w:lineRule="auto"/>
        <w:jc w:val="both"/>
        <w:rPr>
          <w:rFonts w:ascii="Times New Roman" w:hAnsi="Times New Roman"/>
          <w:sz w:val="24"/>
          <w:szCs w:val="24"/>
        </w:rPr>
      </w:pPr>
    </w:p>
    <w:p w14:paraId="6DAF11BE" w14:textId="20FC0D2A" w:rsidR="003B116A" w:rsidRDefault="00DF4CE0" w:rsidP="00DF4CE0">
      <w:pPr>
        <w:spacing w:after="0" w:line="240" w:lineRule="auto"/>
        <w:jc w:val="both"/>
        <w:rPr>
          <w:rFonts w:ascii="Times New Roman" w:hAnsi="Times New Roman"/>
          <w:sz w:val="24"/>
          <w:szCs w:val="24"/>
        </w:rPr>
      </w:pPr>
      <w:r w:rsidRPr="00DF4CE0">
        <w:rPr>
          <w:rFonts w:ascii="Times New Roman" w:hAnsi="Times New Roman"/>
          <w:sz w:val="24"/>
          <w:szCs w:val="24"/>
        </w:rPr>
        <w:t xml:space="preserve">El detalle de los TES al </w:t>
      </w:r>
      <w:r w:rsidR="00E66458">
        <w:rPr>
          <w:rFonts w:ascii="Times New Roman" w:hAnsi="Times New Roman"/>
          <w:sz w:val="24"/>
          <w:szCs w:val="24"/>
        </w:rPr>
        <w:t>31 marzo de 2022</w:t>
      </w:r>
      <w:r w:rsidRPr="00DF4CE0">
        <w:rPr>
          <w:rFonts w:ascii="Times New Roman" w:hAnsi="Times New Roman"/>
          <w:sz w:val="24"/>
          <w:szCs w:val="24"/>
        </w:rPr>
        <w:t xml:space="preserve"> se presenta a continuación:</w:t>
      </w:r>
    </w:p>
    <w:p w14:paraId="32C506CB" w14:textId="0C2213CC" w:rsidR="00AC6173" w:rsidRDefault="000247DC" w:rsidP="00DF4CE0">
      <w:pPr>
        <w:spacing w:after="0" w:line="240" w:lineRule="auto"/>
        <w:jc w:val="both"/>
        <w:rPr>
          <w:noProof/>
        </w:rPr>
      </w:pPr>
      <w:r w:rsidRPr="000247DC">
        <w:rPr>
          <w:noProof/>
        </w:rPr>
        <w:drawing>
          <wp:anchor distT="0" distB="0" distL="114300" distR="114300" simplePos="0" relativeHeight="252703744" behindDoc="1" locked="0" layoutInCell="1" allowOverlap="1" wp14:anchorId="03257029" wp14:editId="78E3E7D3">
            <wp:simplePos x="0" y="0"/>
            <wp:positionH relativeFrom="column">
              <wp:posOffset>-57150</wp:posOffset>
            </wp:positionH>
            <wp:positionV relativeFrom="paragraph">
              <wp:posOffset>174625</wp:posOffset>
            </wp:positionV>
            <wp:extent cx="6048375" cy="17621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C42CF" w14:textId="679CF9A5" w:rsidR="00A21CFA" w:rsidRDefault="00A21CFA" w:rsidP="00DF4CE0">
      <w:pPr>
        <w:spacing w:after="0" w:line="240" w:lineRule="auto"/>
        <w:jc w:val="both"/>
        <w:rPr>
          <w:noProof/>
        </w:rPr>
      </w:pPr>
    </w:p>
    <w:p w14:paraId="222B17DD" w14:textId="7C90FF7D" w:rsidR="00665C04" w:rsidRDefault="00665C04" w:rsidP="00DF4CE0">
      <w:pPr>
        <w:spacing w:after="0" w:line="240" w:lineRule="auto"/>
        <w:jc w:val="both"/>
        <w:rPr>
          <w:noProof/>
        </w:rPr>
      </w:pPr>
    </w:p>
    <w:p w14:paraId="65673505" w14:textId="17F3D240" w:rsidR="00E1573E" w:rsidRDefault="00E1573E" w:rsidP="00DF4CE0">
      <w:pPr>
        <w:spacing w:after="0" w:line="240" w:lineRule="auto"/>
        <w:jc w:val="both"/>
        <w:rPr>
          <w:noProof/>
        </w:rPr>
      </w:pPr>
    </w:p>
    <w:p w14:paraId="363598A0" w14:textId="5CC8EF22" w:rsidR="00AB0BFF" w:rsidRDefault="00AB0BFF" w:rsidP="00DF4CE0">
      <w:pPr>
        <w:spacing w:after="0" w:line="240" w:lineRule="auto"/>
        <w:jc w:val="both"/>
        <w:rPr>
          <w:rFonts w:ascii="Times New Roman" w:hAnsi="Times New Roman"/>
          <w:sz w:val="24"/>
          <w:szCs w:val="24"/>
        </w:rPr>
      </w:pPr>
    </w:p>
    <w:p w14:paraId="5D436DB3" w14:textId="22C16C8E" w:rsidR="00423509" w:rsidRDefault="00423509" w:rsidP="00DF4CE0">
      <w:pPr>
        <w:spacing w:after="0" w:line="240" w:lineRule="auto"/>
        <w:jc w:val="both"/>
      </w:pPr>
    </w:p>
    <w:p w14:paraId="2AA431EC" w14:textId="47F3795E" w:rsidR="00C81FE7" w:rsidRDefault="00C81FE7" w:rsidP="00DF4CE0">
      <w:pPr>
        <w:spacing w:after="0" w:line="240" w:lineRule="auto"/>
        <w:jc w:val="both"/>
        <w:rPr>
          <w:rFonts w:ascii="Times New Roman" w:hAnsi="Times New Roman"/>
          <w:sz w:val="24"/>
          <w:szCs w:val="24"/>
        </w:rPr>
      </w:pPr>
    </w:p>
    <w:p w14:paraId="30DF6371" w14:textId="0BEC8CC0" w:rsidR="00423509" w:rsidRDefault="00423509" w:rsidP="00DF4CE0">
      <w:pPr>
        <w:spacing w:after="0" w:line="240" w:lineRule="auto"/>
        <w:jc w:val="both"/>
        <w:rPr>
          <w:rFonts w:ascii="Times New Roman" w:hAnsi="Times New Roman"/>
          <w:sz w:val="24"/>
          <w:szCs w:val="24"/>
        </w:rPr>
      </w:pPr>
    </w:p>
    <w:p w14:paraId="7C0909DB" w14:textId="314D6CCC" w:rsidR="00C36D0B" w:rsidRDefault="00C36D0B" w:rsidP="00DF4CE0">
      <w:pPr>
        <w:spacing w:after="0" w:line="240" w:lineRule="auto"/>
        <w:jc w:val="both"/>
        <w:rPr>
          <w:rFonts w:ascii="Times New Roman" w:hAnsi="Times New Roman"/>
          <w:sz w:val="24"/>
          <w:szCs w:val="24"/>
        </w:rPr>
      </w:pPr>
    </w:p>
    <w:p w14:paraId="0DF6A423" w14:textId="35824B40" w:rsidR="00C36D0B" w:rsidRDefault="00C36D0B" w:rsidP="00DF4CE0">
      <w:pPr>
        <w:spacing w:after="0" w:line="240" w:lineRule="auto"/>
        <w:jc w:val="both"/>
        <w:rPr>
          <w:rFonts w:ascii="Times New Roman" w:hAnsi="Times New Roman"/>
          <w:sz w:val="24"/>
          <w:szCs w:val="24"/>
        </w:rPr>
      </w:pPr>
    </w:p>
    <w:p w14:paraId="59B62EE4" w14:textId="77777777" w:rsidR="008D0EA1" w:rsidRDefault="008D0EA1" w:rsidP="008D0EA1">
      <w:pPr>
        <w:spacing w:after="0" w:line="240" w:lineRule="auto"/>
        <w:jc w:val="both"/>
        <w:rPr>
          <w:rFonts w:ascii="Times New Roman" w:hAnsi="Times New Roman"/>
          <w:sz w:val="24"/>
          <w:szCs w:val="24"/>
        </w:rPr>
      </w:pPr>
    </w:p>
    <w:p w14:paraId="4694B7E3" w14:textId="77777777" w:rsidR="00BC73E3" w:rsidRDefault="00BC73E3" w:rsidP="008D0EA1">
      <w:pPr>
        <w:spacing w:after="0" w:line="240" w:lineRule="auto"/>
        <w:jc w:val="both"/>
        <w:rPr>
          <w:rFonts w:ascii="Times New Roman" w:hAnsi="Times New Roman"/>
          <w:sz w:val="24"/>
          <w:szCs w:val="24"/>
        </w:rPr>
      </w:pPr>
    </w:p>
    <w:p w14:paraId="5D39B9A7" w14:textId="77777777" w:rsidR="00307589" w:rsidRDefault="00307589" w:rsidP="008D0EA1">
      <w:pPr>
        <w:spacing w:after="0" w:line="240" w:lineRule="auto"/>
        <w:jc w:val="both"/>
        <w:rPr>
          <w:rFonts w:ascii="Times New Roman" w:hAnsi="Times New Roman"/>
          <w:sz w:val="24"/>
          <w:szCs w:val="24"/>
        </w:rPr>
      </w:pPr>
    </w:p>
    <w:p w14:paraId="7048A27A" w14:textId="5BEC6531" w:rsidR="003B116A" w:rsidRDefault="00A72395" w:rsidP="00425DA9">
      <w:pPr>
        <w:pStyle w:val="Ttulo2"/>
        <w:numPr>
          <w:ilvl w:val="1"/>
          <w:numId w:val="9"/>
        </w:numPr>
        <w:ind w:left="567" w:hanging="567"/>
        <w:rPr>
          <w:szCs w:val="22"/>
        </w:rPr>
      </w:pPr>
      <w:bookmarkStart w:id="24" w:name="_Toc99455311"/>
      <w:r w:rsidRPr="00AC4D9D">
        <w:rPr>
          <w:szCs w:val="22"/>
        </w:rPr>
        <w:lastRenderedPageBreak/>
        <w:t>Inversiones de administración de liquidez</w:t>
      </w:r>
      <w:bookmarkEnd w:id="24"/>
    </w:p>
    <w:p w14:paraId="7CF321A4" w14:textId="16F2F753" w:rsidR="00F10458" w:rsidRDefault="004F0F5C" w:rsidP="002720C6">
      <w:pPr>
        <w:rPr>
          <w:noProof/>
        </w:rPr>
      </w:pPr>
      <w:r w:rsidRPr="004F0F5C">
        <w:rPr>
          <w:noProof/>
        </w:rPr>
        <w:drawing>
          <wp:anchor distT="0" distB="0" distL="114300" distR="114300" simplePos="0" relativeHeight="252704768" behindDoc="1" locked="0" layoutInCell="1" allowOverlap="1" wp14:anchorId="4793ECC2" wp14:editId="29ED43DD">
            <wp:simplePos x="0" y="0"/>
            <wp:positionH relativeFrom="column">
              <wp:posOffset>-19050</wp:posOffset>
            </wp:positionH>
            <wp:positionV relativeFrom="paragraph">
              <wp:posOffset>68580</wp:posOffset>
            </wp:positionV>
            <wp:extent cx="5881370" cy="1838325"/>
            <wp:effectExtent l="0" t="0" r="508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1370" cy="1838325"/>
                    </a:xfrm>
                    <a:prstGeom prst="rect">
                      <a:avLst/>
                    </a:prstGeom>
                    <a:noFill/>
                    <a:ln>
                      <a:noFill/>
                    </a:ln>
                  </pic:spPr>
                </pic:pic>
              </a:graphicData>
            </a:graphic>
          </wp:anchor>
        </w:drawing>
      </w:r>
    </w:p>
    <w:p w14:paraId="44897F72" w14:textId="77777777" w:rsidR="007B1834" w:rsidRDefault="007B1834" w:rsidP="002F6C5E">
      <w:pPr>
        <w:jc w:val="both"/>
        <w:rPr>
          <w:rFonts w:ascii="Times New Roman" w:hAnsi="Times New Roman"/>
          <w:sz w:val="24"/>
          <w:szCs w:val="24"/>
        </w:rPr>
      </w:pPr>
    </w:p>
    <w:p w14:paraId="7A4D779A" w14:textId="77777777" w:rsidR="007B1834" w:rsidRDefault="007B1834" w:rsidP="002F6C5E">
      <w:pPr>
        <w:jc w:val="both"/>
        <w:rPr>
          <w:rFonts w:ascii="Times New Roman" w:hAnsi="Times New Roman"/>
          <w:sz w:val="24"/>
          <w:szCs w:val="24"/>
        </w:rPr>
      </w:pPr>
    </w:p>
    <w:p w14:paraId="507A71A8" w14:textId="77777777" w:rsidR="007B1834" w:rsidRDefault="007B1834" w:rsidP="002F6C5E">
      <w:pPr>
        <w:jc w:val="both"/>
        <w:rPr>
          <w:rFonts w:ascii="Times New Roman" w:hAnsi="Times New Roman"/>
          <w:sz w:val="24"/>
          <w:szCs w:val="24"/>
        </w:rPr>
      </w:pPr>
    </w:p>
    <w:p w14:paraId="004FD0C0" w14:textId="77777777" w:rsidR="007B1834" w:rsidRDefault="007B1834" w:rsidP="002F6C5E">
      <w:pPr>
        <w:jc w:val="both"/>
        <w:rPr>
          <w:rFonts w:ascii="Times New Roman" w:hAnsi="Times New Roman"/>
          <w:sz w:val="24"/>
          <w:szCs w:val="24"/>
        </w:rPr>
      </w:pPr>
    </w:p>
    <w:p w14:paraId="7B683279" w14:textId="77777777" w:rsidR="007B1834" w:rsidRDefault="007B1834" w:rsidP="002F6C5E">
      <w:pPr>
        <w:jc w:val="both"/>
        <w:rPr>
          <w:rFonts w:ascii="Times New Roman" w:hAnsi="Times New Roman"/>
          <w:sz w:val="24"/>
          <w:szCs w:val="24"/>
        </w:rPr>
      </w:pPr>
    </w:p>
    <w:p w14:paraId="42CC61F1" w14:textId="77777777" w:rsidR="0031792E" w:rsidRDefault="0031792E" w:rsidP="0031792E">
      <w:pPr>
        <w:spacing w:after="0" w:line="240" w:lineRule="auto"/>
        <w:jc w:val="both"/>
        <w:rPr>
          <w:rFonts w:ascii="Times New Roman" w:hAnsi="Times New Roman"/>
          <w:sz w:val="24"/>
          <w:szCs w:val="24"/>
        </w:rPr>
      </w:pPr>
    </w:p>
    <w:p w14:paraId="06F6FC0F" w14:textId="5BE6DC48" w:rsidR="002F6C5E" w:rsidRDefault="007831C9" w:rsidP="002F6C5E">
      <w:pPr>
        <w:jc w:val="both"/>
        <w:rPr>
          <w:rFonts w:ascii="Times New Roman" w:hAnsi="Times New Roman"/>
          <w:sz w:val="24"/>
          <w:szCs w:val="24"/>
        </w:rPr>
      </w:pPr>
      <w:r>
        <w:rPr>
          <w:rFonts w:ascii="Times New Roman" w:hAnsi="Times New Roman"/>
          <w:sz w:val="24"/>
          <w:szCs w:val="24"/>
        </w:rPr>
        <w:t xml:space="preserve">A </w:t>
      </w:r>
      <w:r w:rsidR="00210FC5">
        <w:rPr>
          <w:rFonts w:ascii="Times New Roman" w:hAnsi="Times New Roman"/>
          <w:sz w:val="24"/>
          <w:szCs w:val="24"/>
        </w:rPr>
        <w:t>marzo del año 2022</w:t>
      </w:r>
      <w:r w:rsidR="002F6C5E" w:rsidRPr="002F6C5E">
        <w:rPr>
          <w:rFonts w:ascii="Times New Roman" w:hAnsi="Times New Roman"/>
          <w:sz w:val="24"/>
          <w:szCs w:val="24"/>
        </w:rPr>
        <w:t>, la entidad obtuvo ingresos financieros por rendimientos en inversiones de administración de liquidez a costo amortizado (TES) por $</w:t>
      </w:r>
      <w:r w:rsidR="004F0F5C">
        <w:rPr>
          <w:rFonts w:ascii="Times New Roman" w:hAnsi="Times New Roman"/>
          <w:sz w:val="24"/>
          <w:szCs w:val="24"/>
        </w:rPr>
        <w:t>3</w:t>
      </w:r>
      <w:r w:rsidR="002825F9">
        <w:rPr>
          <w:rFonts w:ascii="Times New Roman" w:hAnsi="Times New Roman"/>
          <w:sz w:val="24"/>
          <w:szCs w:val="24"/>
        </w:rPr>
        <w:t>.</w:t>
      </w:r>
      <w:r w:rsidR="004F0F5C">
        <w:rPr>
          <w:rFonts w:ascii="Times New Roman" w:hAnsi="Times New Roman"/>
          <w:sz w:val="24"/>
          <w:szCs w:val="24"/>
        </w:rPr>
        <w:t>741</w:t>
      </w:r>
      <w:r w:rsidR="002F6C5E" w:rsidRPr="002F6C5E">
        <w:rPr>
          <w:rFonts w:ascii="Times New Roman" w:hAnsi="Times New Roman"/>
          <w:sz w:val="24"/>
          <w:szCs w:val="24"/>
        </w:rPr>
        <w:t>.</w:t>
      </w:r>
      <w:r w:rsidR="004F0F5C">
        <w:rPr>
          <w:rFonts w:ascii="Times New Roman" w:hAnsi="Times New Roman"/>
          <w:sz w:val="24"/>
          <w:szCs w:val="24"/>
        </w:rPr>
        <w:t>687.958</w:t>
      </w:r>
      <w:r w:rsidR="002F6C5E" w:rsidRPr="002F6C5E">
        <w:rPr>
          <w:rFonts w:ascii="Times New Roman" w:hAnsi="Times New Roman"/>
          <w:sz w:val="24"/>
          <w:szCs w:val="24"/>
        </w:rPr>
        <w:t xml:space="preserve"> pesos colombianos</w:t>
      </w:r>
      <w:r w:rsidR="00822FD4" w:rsidRPr="00822FD4">
        <w:rPr>
          <w:rFonts w:ascii="Times New Roman" w:hAnsi="Times New Roman"/>
          <w:sz w:val="24"/>
          <w:szCs w:val="24"/>
        </w:rPr>
        <w:t>.</w:t>
      </w:r>
      <w:r w:rsidR="002F6C5E" w:rsidRPr="002F6C5E">
        <w:rPr>
          <w:rFonts w:ascii="Times New Roman" w:hAnsi="Times New Roman"/>
          <w:sz w:val="24"/>
          <w:szCs w:val="24"/>
        </w:rPr>
        <w:t xml:space="preserve"> </w:t>
      </w:r>
      <w:r w:rsidR="00822FD4">
        <w:rPr>
          <w:rFonts w:ascii="Times New Roman" w:hAnsi="Times New Roman"/>
          <w:sz w:val="24"/>
          <w:szCs w:val="24"/>
        </w:rPr>
        <w:t>(</w:t>
      </w:r>
      <w:r w:rsidR="002F6C5E" w:rsidRPr="002F6C5E">
        <w:rPr>
          <w:rFonts w:ascii="Times New Roman" w:hAnsi="Times New Roman"/>
          <w:sz w:val="24"/>
          <w:szCs w:val="24"/>
        </w:rPr>
        <w:t xml:space="preserve">Ver Nota </w:t>
      </w:r>
      <w:r w:rsidR="001500BD">
        <w:rPr>
          <w:rFonts w:ascii="Times New Roman" w:hAnsi="Times New Roman"/>
          <w:sz w:val="24"/>
          <w:szCs w:val="24"/>
        </w:rPr>
        <w:t>28.</w:t>
      </w:r>
      <w:r w:rsidR="00252C43">
        <w:rPr>
          <w:rFonts w:ascii="Times New Roman" w:hAnsi="Times New Roman"/>
          <w:sz w:val="24"/>
          <w:szCs w:val="24"/>
        </w:rPr>
        <w:t>2</w:t>
      </w:r>
      <w:r w:rsidR="002F6C5E" w:rsidRPr="002F6C5E">
        <w:rPr>
          <w:rFonts w:ascii="Times New Roman" w:hAnsi="Times New Roman"/>
          <w:sz w:val="24"/>
          <w:szCs w:val="24"/>
        </w:rPr>
        <w:t>).</w:t>
      </w:r>
    </w:p>
    <w:p w14:paraId="471CEC81" w14:textId="1FB6DDDB" w:rsidR="00916EE1" w:rsidRDefault="00916EE1" w:rsidP="002F6C5E">
      <w:pPr>
        <w:jc w:val="both"/>
        <w:rPr>
          <w:rFonts w:ascii="Times New Roman" w:hAnsi="Times New Roman"/>
          <w:sz w:val="24"/>
          <w:szCs w:val="24"/>
        </w:rPr>
      </w:pPr>
      <w:r w:rsidRPr="00916EE1">
        <w:rPr>
          <w:rFonts w:ascii="Times New Roman" w:hAnsi="Times New Roman"/>
          <w:sz w:val="24"/>
          <w:szCs w:val="24"/>
        </w:rPr>
        <w:t xml:space="preserve">El 06 de julio 2021 se constituyó el TES No. 19 con un valor nominal de $15.887.300.000 pesos colombianos, a una tasa cupón de 6.25 y efectiva anual de </w:t>
      </w:r>
      <w:r w:rsidR="00B55058">
        <w:rPr>
          <w:rFonts w:ascii="Times New Roman" w:hAnsi="Times New Roman"/>
          <w:sz w:val="24"/>
          <w:szCs w:val="24"/>
        </w:rPr>
        <w:t>7</w:t>
      </w:r>
      <w:r w:rsidRPr="00916EE1">
        <w:rPr>
          <w:rFonts w:ascii="Times New Roman" w:hAnsi="Times New Roman"/>
          <w:sz w:val="24"/>
          <w:szCs w:val="24"/>
        </w:rPr>
        <w:t>.</w:t>
      </w:r>
      <w:r w:rsidR="00B55058">
        <w:rPr>
          <w:rFonts w:ascii="Times New Roman" w:hAnsi="Times New Roman"/>
          <w:sz w:val="24"/>
          <w:szCs w:val="24"/>
        </w:rPr>
        <w:t>59</w:t>
      </w:r>
      <w:r w:rsidRPr="00916EE1">
        <w:rPr>
          <w:rFonts w:ascii="Times New Roman" w:hAnsi="Times New Roman"/>
          <w:sz w:val="24"/>
          <w:szCs w:val="24"/>
        </w:rPr>
        <w:t>, la fecha de redención es del 09 de julio 2036, de acuerdo con la fecha de constitución y vigencia del TES al 31 de julio se presentó la redención del primer cupón por $992.956.250.</w:t>
      </w:r>
    </w:p>
    <w:p w14:paraId="23EBC832" w14:textId="075CBD95" w:rsidR="00532225" w:rsidRDefault="00532225" w:rsidP="002F6C5E">
      <w:pPr>
        <w:jc w:val="both"/>
        <w:rPr>
          <w:rFonts w:ascii="Times New Roman" w:hAnsi="Times New Roman"/>
          <w:sz w:val="24"/>
          <w:szCs w:val="24"/>
        </w:rPr>
      </w:pPr>
      <w:r w:rsidRPr="00916EE1">
        <w:rPr>
          <w:rFonts w:ascii="Times New Roman" w:hAnsi="Times New Roman"/>
          <w:sz w:val="24"/>
          <w:szCs w:val="24"/>
        </w:rPr>
        <w:t xml:space="preserve">El </w:t>
      </w:r>
      <w:r>
        <w:rPr>
          <w:rFonts w:ascii="Times New Roman" w:hAnsi="Times New Roman"/>
          <w:sz w:val="24"/>
          <w:szCs w:val="24"/>
        </w:rPr>
        <w:t>17</w:t>
      </w:r>
      <w:r w:rsidRPr="00916EE1">
        <w:rPr>
          <w:rFonts w:ascii="Times New Roman" w:hAnsi="Times New Roman"/>
          <w:sz w:val="24"/>
          <w:szCs w:val="24"/>
        </w:rPr>
        <w:t xml:space="preserve"> de </w:t>
      </w:r>
      <w:r>
        <w:rPr>
          <w:rFonts w:ascii="Times New Roman" w:hAnsi="Times New Roman"/>
          <w:sz w:val="24"/>
          <w:szCs w:val="24"/>
        </w:rPr>
        <w:t xml:space="preserve">noviembre </w:t>
      </w:r>
      <w:r w:rsidRPr="00916EE1">
        <w:rPr>
          <w:rFonts w:ascii="Times New Roman" w:hAnsi="Times New Roman"/>
          <w:sz w:val="24"/>
          <w:szCs w:val="24"/>
        </w:rPr>
        <w:t xml:space="preserve">2021 se constituyó el TES No. </w:t>
      </w:r>
      <w:r>
        <w:rPr>
          <w:rFonts w:ascii="Times New Roman" w:hAnsi="Times New Roman"/>
          <w:sz w:val="24"/>
          <w:szCs w:val="24"/>
        </w:rPr>
        <w:t>20</w:t>
      </w:r>
      <w:r w:rsidRPr="00916EE1">
        <w:rPr>
          <w:rFonts w:ascii="Times New Roman" w:hAnsi="Times New Roman"/>
          <w:sz w:val="24"/>
          <w:szCs w:val="24"/>
        </w:rPr>
        <w:t xml:space="preserve"> con un valor nominal de $1</w:t>
      </w:r>
      <w:r>
        <w:rPr>
          <w:rFonts w:ascii="Times New Roman" w:hAnsi="Times New Roman"/>
          <w:sz w:val="24"/>
          <w:szCs w:val="24"/>
        </w:rPr>
        <w:t>8</w:t>
      </w:r>
      <w:r w:rsidRPr="00916EE1">
        <w:rPr>
          <w:rFonts w:ascii="Times New Roman" w:hAnsi="Times New Roman"/>
          <w:sz w:val="24"/>
          <w:szCs w:val="24"/>
        </w:rPr>
        <w:t>.</w:t>
      </w:r>
      <w:r>
        <w:rPr>
          <w:rFonts w:ascii="Times New Roman" w:hAnsi="Times New Roman"/>
          <w:sz w:val="24"/>
          <w:szCs w:val="24"/>
        </w:rPr>
        <w:t>623</w:t>
      </w:r>
      <w:r w:rsidRPr="00916EE1">
        <w:rPr>
          <w:rFonts w:ascii="Times New Roman" w:hAnsi="Times New Roman"/>
          <w:sz w:val="24"/>
          <w:szCs w:val="24"/>
        </w:rPr>
        <w:t>.</w:t>
      </w:r>
      <w:r>
        <w:rPr>
          <w:rFonts w:ascii="Times New Roman" w:hAnsi="Times New Roman"/>
          <w:sz w:val="24"/>
          <w:szCs w:val="24"/>
        </w:rPr>
        <w:t>9</w:t>
      </w:r>
      <w:r w:rsidRPr="00916EE1">
        <w:rPr>
          <w:rFonts w:ascii="Times New Roman" w:hAnsi="Times New Roman"/>
          <w:sz w:val="24"/>
          <w:szCs w:val="24"/>
        </w:rPr>
        <w:t xml:space="preserve">00.000 pesos colombianos, a una tasa cupón de </w:t>
      </w:r>
      <w:r>
        <w:rPr>
          <w:rFonts w:ascii="Times New Roman" w:hAnsi="Times New Roman"/>
          <w:sz w:val="24"/>
          <w:szCs w:val="24"/>
        </w:rPr>
        <w:t>7.00</w:t>
      </w:r>
      <w:r w:rsidRPr="00916EE1">
        <w:rPr>
          <w:rFonts w:ascii="Times New Roman" w:hAnsi="Times New Roman"/>
          <w:sz w:val="24"/>
          <w:szCs w:val="24"/>
        </w:rPr>
        <w:t xml:space="preserve"> y efectiva anual de </w:t>
      </w:r>
      <w:r>
        <w:rPr>
          <w:rFonts w:ascii="Times New Roman" w:hAnsi="Times New Roman"/>
          <w:sz w:val="24"/>
          <w:szCs w:val="24"/>
        </w:rPr>
        <w:t>8</w:t>
      </w:r>
      <w:r w:rsidRPr="00916EE1">
        <w:rPr>
          <w:rFonts w:ascii="Times New Roman" w:hAnsi="Times New Roman"/>
          <w:sz w:val="24"/>
          <w:szCs w:val="24"/>
        </w:rPr>
        <w:t>.2</w:t>
      </w:r>
      <w:r>
        <w:rPr>
          <w:rFonts w:ascii="Times New Roman" w:hAnsi="Times New Roman"/>
          <w:sz w:val="24"/>
          <w:szCs w:val="24"/>
        </w:rPr>
        <w:t>3</w:t>
      </w:r>
      <w:r w:rsidRPr="00916EE1">
        <w:rPr>
          <w:rFonts w:ascii="Times New Roman" w:hAnsi="Times New Roman"/>
          <w:sz w:val="24"/>
          <w:szCs w:val="24"/>
        </w:rPr>
        <w:t xml:space="preserve">, la fecha de redención es del </w:t>
      </w:r>
      <w:r w:rsidR="00803384">
        <w:rPr>
          <w:rFonts w:ascii="Times New Roman" w:hAnsi="Times New Roman"/>
          <w:sz w:val="24"/>
          <w:szCs w:val="24"/>
        </w:rPr>
        <w:t>26</w:t>
      </w:r>
      <w:r w:rsidRPr="00916EE1">
        <w:rPr>
          <w:rFonts w:ascii="Times New Roman" w:hAnsi="Times New Roman"/>
          <w:sz w:val="24"/>
          <w:szCs w:val="24"/>
        </w:rPr>
        <w:t xml:space="preserve"> de </w:t>
      </w:r>
      <w:r w:rsidR="00803384">
        <w:rPr>
          <w:rFonts w:ascii="Times New Roman" w:hAnsi="Times New Roman"/>
          <w:sz w:val="24"/>
          <w:szCs w:val="24"/>
        </w:rPr>
        <w:t>marzo</w:t>
      </w:r>
      <w:r w:rsidRPr="00916EE1">
        <w:rPr>
          <w:rFonts w:ascii="Times New Roman" w:hAnsi="Times New Roman"/>
          <w:sz w:val="24"/>
          <w:szCs w:val="24"/>
        </w:rPr>
        <w:t xml:space="preserve"> 203</w:t>
      </w:r>
      <w:r w:rsidR="00803384">
        <w:rPr>
          <w:rFonts w:ascii="Times New Roman" w:hAnsi="Times New Roman"/>
          <w:sz w:val="24"/>
          <w:szCs w:val="24"/>
        </w:rPr>
        <w:t>1</w:t>
      </w:r>
      <w:r w:rsidRPr="00916EE1">
        <w:rPr>
          <w:rFonts w:ascii="Times New Roman" w:hAnsi="Times New Roman"/>
          <w:sz w:val="24"/>
          <w:szCs w:val="24"/>
        </w:rPr>
        <w:t xml:space="preserve">, de acuerdo con la fecha de constitución y vigencia del TES la redención del primer cupón </w:t>
      </w:r>
      <w:r w:rsidR="00803384">
        <w:rPr>
          <w:rFonts w:ascii="Times New Roman" w:hAnsi="Times New Roman"/>
          <w:sz w:val="24"/>
          <w:szCs w:val="24"/>
        </w:rPr>
        <w:t>se realizaría para el mes de marzo del 2022</w:t>
      </w:r>
      <w:r w:rsidRPr="00916EE1">
        <w:rPr>
          <w:rFonts w:ascii="Times New Roman" w:hAnsi="Times New Roman"/>
          <w:sz w:val="24"/>
          <w:szCs w:val="24"/>
        </w:rPr>
        <w:t>.</w:t>
      </w:r>
    </w:p>
    <w:p w14:paraId="2FA03A92" w14:textId="1ED1A16B" w:rsidR="00FF03FA" w:rsidRDefault="00FF03FA" w:rsidP="002F6C5E">
      <w:pPr>
        <w:jc w:val="both"/>
        <w:rPr>
          <w:rFonts w:ascii="Times New Roman" w:hAnsi="Times New Roman"/>
          <w:sz w:val="24"/>
          <w:szCs w:val="24"/>
        </w:rPr>
      </w:pPr>
      <w:r w:rsidRPr="00FF03FA">
        <w:rPr>
          <w:rFonts w:ascii="Times New Roman" w:hAnsi="Times New Roman"/>
          <w:sz w:val="24"/>
          <w:szCs w:val="24"/>
        </w:rPr>
        <w:t xml:space="preserve">Para el mes de </w:t>
      </w:r>
      <w:r w:rsidR="004F0F5C">
        <w:rPr>
          <w:rFonts w:ascii="Times New Roman" w:hAnsi="Times New Roman"/>
          <w:sz w:val="24"/>
          <w:szCs w:val="24"/>
        </w:rPr>
        <w:t>marzo</w:t>
      </w:r>
      <w:r>
        <w:rPr>
          <w:rFonts w:ascii="Times New Roman" w:hAnsi="Times New Roman"/>
          <w:sz w:val="24"/>
          <w:szCs w:val="24"/>
        </w:rPr>
        <w:t xml:space="preserve"> </w:t>
      </w:r>
      <w:r w:rsidRPr="00FF03FA">
        <w:rPr>
          <w:rFonts w:ascii="Times New Roman" w:hAnsi="Times New Roman"/>
          <w:sz w:val="24"/>
          <w:szCs w:val="24"/>
        </w:rPr>
        <w:t xml:space="preserve">no se constituyeron </w:t>
      </w:r>
      <w:r w:rsidR="00346C10">
        <w:rPr>
          <w:rFonts w:ascii="Times New Roman" w:hAnsi="Times New Roman"/>
          <w:sz w:val="24"/>
          <w:szCs w:val="24"/>
        </w:rPr>
        <w:t>TES</w:t>
      </w:r>
      <w:r w:rsidR="004F0F5C">
        <w:rPr>
          <w:rFonts w:ascii="Times New Roman" w:hAnsi="Times New Roman"/>
          <w:sz w:val="24"/>
          <w:szCs w:val="24"/>
        </w:rPr>
        <w:t>.</w:t>
      </w:r>
    </w:p>
    <w:p w14:paraId="6B2A3E5D" w14:textId="334AE6B5" w:rsidR="004F0F5C" w:rsidRDefault="004F0F5C" w:rsidP="002F6C5E">
      <w:pPr>
        <w:jc w:val="both"/>
        <w:rPr>
          <w:rFonts w:ascii="Times New Roman" w:hAnsi="Times New Roman"/>
          <w:sz w:val="24"/>
          <w:szCs w:val="24"/>
        </w:rPr>
      </w:pPr>
      <w:r w:rsidRPr="004F0F5C">
        <w:rPr>
          <w:rFonts w:ascii="Times New Roman" w:hAnsi="Times New Roman"/>
          <w:sz w:val="24"/>
          <w:szCs w:val="24"/>
        </w:rPr>
        <w:t xml:space="preserve">El 26 de </w:t>
      </w:r>
      <w:r>
        <w:rPr>
          <w:rFonts w:ascii="Times New Roman" w:hAnsi="Times New Roman"/>
          <w:sz w:val="24"/>
          <w:szCs w:val="24"/>
        </w:rPr>
        <w:t>marzo</w:t>
      </w:r>
      <w:r w:rsidRPr="004F0F5C">
        <w:rPr>
          <w:rFonts w:ascii="Times New Roman" w:hAnsi="Times New Roman"/>
          <w:sz w:val="24"/>
          <w:szCs w:val="24"/>
        </w:rPr>
        <w:t xml:space="preserve"> 202</w:t>
      </w:r>
      <w:r>
        <w:rPr>
          <w:rFonts w:ascii="Times New Roman" w:hAnsi="Times New Roman"/>
          <w:sz w:val="24"/>
          <w:szCs w:val="24"/>
        </w:rPr>
        <w:t>2</w:t>
      </w:r>
      <w:r w:rsidRPr="004F0F5C">
        <w:rPr>
          <w:rFonts w:ascii="Times New Roman" w:hAnsi="Times New Roman"/>
          <w:sz w:val="24"/>
          <w:szCs w:val="24"/>
        </w:rPr>
        <w:t xml:space="preserve"> se present</w:t>
      </w:r>
      <w:r>
        <w:rPr>
          <w:rFonts w:ascii="Times New Roman" w:hAnsi="Times New Roman"/>
          <w:sz w:val="24"/>
          <w:szCs w:val="24"/>
        </w:rPr>
        <w:t>ó</w:t>
      </w:r>
      <w:r w:rsidRPr="004F0F5C">
        <w:rPr>
          <w:rFonts w:ascii="Times New Roman" w:hAnsi="Times New Roman"/>
          <w:sz w:val="24"/>
          <w:szCs w:val="24"/>
        </w:rPr>
        <w:t xml:space="preserve"> redención de</w:t>
      </w:r>
      <w:r w:rsidR="00654A96">
        <w:rPr>
          <w:rFonts w:ascii="Times New Roman" w:hAnsi="Times New Roman"/>
          <w:sz w:val="24"/>
          <w:szCs w:val="24"/>
        </w:rPr>
        <w:t xml:space="preserve">l primer </w:t>
      </w:r>
      <w:r w:rsidRPr="004F0F5C">
        <w:rPr>
          <w:rFonts w:ascii="Times New Roman" w:hAnsi="Times New Roman"/>
          <w:sz w:val="24"/>
          <w:szCs w:val="24"/>
        </w:rPr>
        <w:t xml:space="preserve">cupón del TES No. </w:t>
      </w:r>
      <w:r w:rsidR="00654A96">
        <w:rPr>
          <w:rFonts w:ascii="Times New Roman" w:hAnsi="Times New Roman"/>
          <w:sz w:val="24"/>
          <w:szCs w:val="24"/>
        </w:rPr>
        <w:t>20</w:t>
      </w:r>
      <w:r w:rsidRPr="004F0F5C">
        <w:rPr>
          <w:rFonts w:ascii="Times New Roman" w:hAnsi="Times New Roman"/>
          <w:sz w:val="24"/>
          <w:szCs w:val="24"/>
        </w:rPr>
        <w:t xml:space="preserve"> por valor de $</w:t>
      </w:r>
      <w:r w:rsidR="00654A96">
        <w:rPr>
          <w:rFonts w:ascii="Times New Roman" w:hAnsi="Times New Roman"/>
          <w:sz w:val="24"/>
          <w:szCs w:val="24"/>
        </w:rPr>
        <w:t>1</w:t>
      </w:r>
      <w:r w:rsidRPr="004F0F5C">
        <w:rPr>
          <w:rFonts w:ascii="Times New Roman" w:hAnsi="Times New Roman"/>
          <w:sz w:val="24"/>
          <w:szCs w:val="24"/>
        </w:rPr>
        <w:t>.</w:t>
      </w:r>
      <w:r w:rsidR="00654A96">
        <w:rPr>
          <w:rFonts w:ascii="Times New Roman" w:hAnsi="Times New Roman"/>
          <w:sz w:val="24"/>
          <w:szCs w:val="24"/>
        </w:rPr>
        <w:t>303</w:t>
      </w:r>
      <w:r w:rsidRPr="004F0F5C">
        <w:rPr>
          <w:rFonts w:ascii="Times New Roman" w:hAnsi="Times New Roman"/>
          <w:sz w:val="24"/>
          <w:szCs w:val="24"/>
        </w:rPr>
        <w:t>.</w:t>
      </w:r>
      <w:r w:rsidR="00654A96">
        <w:rPr>
          <w:rFonts w:ascii="Times New Roman" w:hAnsi="Times New Roman"/>
          <w:sz w:val="24"/>
          <w:szCs w:val="24"/>
        </w:rPr>
        <w:t>673</w:t>
      </w:r>
      <w:r w:rsidRPr="004F0F5C">
        <w:rPr>
          <w:rFonts w:ascii="Times New Roman" w:hAnsi="Times New Roman"/>
          <w:sz w:val="24"/>
          <w:szCs w:val="24"/>
        </w:rPr>
        <w:t>.</w:t>
      </w:r>
      <w:r w:rsidR="00654A96">
        <w:rPr>
          <w:rFonts w:ascii="Times New Roman" w:hAnsi="Times New Roman"/>
          <w:sz w:val="24"/>
          <w:szCs w:val="24"/>
        </w:rPr>
        <w:t>0</w:t>
      </w:r>
      <w:r w:rsidRPr="004F0F5C">
        <w:rPr>
          <w:rFonts w:ascii="Times New Roman" w:hAnsi="Times New Roman"/>
          <w:sz w:val="24"/>
          <w:szCs w:val="24"/>
        </w:rPr>
        <w:t>00.</w:t>
      </w:r>
    </w:p>
    <w:p w14:paraId="551428EF" w14:textId="1EDC3AFB" w:rsidR="00093EAE" w:rsidRDefault="001B052F" w:rsidP="002F6C5E">
      <w:pPr>
        <w:jc w:val="both"/>
        <w:rPr>
          <w:rFonts w:ascii="Times New Roman" w:hAnsi="Times New Roman"/>
          <w:sz w:val="24"/>
          <w:szCs w:val="24"/>
        </w:rPr>
      </w:pPr>
      <w:r w:rsidRPr="001B052F">
        <w:rPr>
          <w:rFonts w:ascii="Times New Roman" w:hAnsi="Times New Roman"/>
          <w:sz w:val="24"/>
          <w:szCs w:val="24"/>
        </w:rPr>
        <w:t xml:space="preserve">Para el mes de </w:t>
      </w:r>
      <w:r w:rsidR="00432519">
        <w:rPr>
          <w:rFonts w:ascii="Times New Roman" w:hAnsi="Times New Roman"/>
          <w:sz w:val="24"/>
          <w:szCs w:val="24"/>
        </w:rPr>
        <w:t>marzo 2022</w:t>
      </w:r>
      <w:r w:rsidRPr="001B052F">
        <w:rPr>
          <w:rFonts w:ascii="Times New Roman" w:hAnsi="Times New Roman"/>
          <w:sz w:val="24"/>
          <w:szCs w:val="24"/>
        </w:rPr>
        <w:t xml:space="preserve"> no se constituyeron CDTs</w:t>
      </w:r>
      <w:r w:rsidR="00400EE9">
        <w:rPr>
          <w:rFonts w:ascii="Times New Roman" w:hAnsi="Times New Roman"/>
          <w:sz w:val="24"/>
          <w:szCs w:val="24"/>
        </w:rPr>
        <w:t>.</w:t>
      </w:r>
    </w:p>
    <w:p w14:paraId="0B42CFBF" w14:textId="6401A013" w:rsidR="002F6C5E" w:rsidRDefault="002F6C5E" w:rsidP="002F6C5E">
      <w:pPr>
        <w:jc w:val="both"/>
        <w:rPr>
          <w:rFonts w:ascii="Times New Roman" w:hAnsi="Times New Roman"/>
          <w:sz w:val="24"/>
          <w:szCs w:val="24"/>
        </w:rPr>
      </w:pPr>
      <w:r w:rsidRPr="002F6C5E">
        <w:rPr>
          <w:rFonts w:ascii="Times New Roman" w:hAnsi="Times New Roman"/>
          <w:sz w:val="24"/>
          <w:szCs w:val="24"/>
        </w:rPr>
        <w:t>La entidad constituy</w:t>
      </w:r>
      <w:r w:rsidR="00B017E7">
        <w:rPr>
          <w:rFonts w:ascii="Times New Roman" w:hAnsi="Times New Roman"/>
          <w:sz w:val="24"/>
          <w:szCs w:val="24"/>
        </w:rPr>
        <w:t>ó</w:t>
      </w:r>
      <w:r w:rsidRPr="002F6C5E">
        <w:rPr>
          <w:rFonts w:ascii="Times New Roman" w:hAnsi="Times New Roman"/>
          <w:sz w:val="24"/>
          <w:szCs w:val="24"/>
        </w:rPr>
        <w:t xml:space="preserve"> un fondo de inversión colectiva de perfil conservador, con disponibilidad inmediata de los recursos llamado renta líquida, administrado por Alianza </w:t>
      </w:r>
      <w:r w:rsidR="0054117E">
        <w:rPr>
          <w:rFonts w:ascii="Times New Roman" w:hAnsi="Times New Roman"/>
          <w:sz w:val="24"/>
          <w:szCs w:val="24"/>
        </w:rPr>
        <w:t xml:space="preserve">Fiduciaria, con un saldo al </w:t>
      </w:r>
      <w:r w:rsidR="00654A96">
        <w:rPr>
          <w:rFonts w:ascii="Times New Roman" w:hAnsi="Times New Roman"/>
          <w:sz w:val="24"/>
          <w:szCs w:val="24"/>
        </w:rPr>
        <w:t>31</w:t>
      </w:r>
      <w:r w:rsidR="00CF75CD">
        <w:rPr>
          <w:rFonts w:ascii="Times New Roman" w:hAnsi="Times New Roman"/>
          <w:sz w:val="24"/>
          <w:szCs w:val="24"/>
        </w:rPr>
        <w:t xml:space="preserve"> </w:t>
      </w:r>
      <w:r w:rsidR="00654A96">
        <w:rPr>
          <w:rFonts w:ascii="Times New Roman" w:hAnsi="Times New Roman"/>
          <w:sz w:val="24"/>
          <w:szCs w:val="24"/>
        </w:rPr>
        <w:t>marzo</w:t>
      </w:r>
      <w:r w:rsidR="004F0D30">
        <w:rPr>
          <w:rFonts w:ascii="Times New Roman" w:hAnsi="Times New Roman"/>
          <w:sz w:val="24"/>
          <w:szCs w:val="24"/>
        </w:rPr>
        <w:t xml:space="preserve"> </w:t>
      </w:r>
      <w:r w:rsidRPr="002F6C5E">
        <w:rPr>
          <w:rFonts w:ascii="Times New Roman" w:hAnsi="Times New Roman"/>
          <w:sz w:val="24"/>
          <w:szCs w:val="24"/>
        </w:rPr>
        <w:t>de $</w:t>
      </w:r>
      <w:r w:rsidR="00654A96">
        <w:rPr>
          <w:rFonts w:ascii="Times New Roman" w:hAnsi="Times New Roman"/>
          <w:sz w:val="24"/>
          <w:szCs w:val="24"/>
        </w:rPr>
        <w:t>39</w:t>
      </w:r>
      <w:r w:rsidR="00165AFA">
        <w:rPr>
          <w:rFonts w:ascii="Times New Roman" w:hAnsi="Times New Roman"/>
          <w:sz w:val="24"/>
          <w:szCs w:val="24"/>
        </w:rPr>
        <w:t>.</w:t>
      </w:r>
      <w:r w:rsidR="00654A96">
        <w:rPr>
          <w:rFonts w:ascii="Times New Roman" w:hAnsi="Times New Roman"/>
          <w:sz w:val="24"/>
          <w:szCs w:val="24"/>
        </w:rPr>
        <w:t>919</w:t>
      </w:r>
      <w:r w:rsidRPr="002F6C5E">
        <w:rPr>
          <w:rFonts w:ascii="Times New Roman" w:hAnsi="Times New Roman"/>
          <w:sz w:val="24"/>
          <w:szCs w:val="24"/>
        </w:rPr>
        <w:t>.</w:t>
      </w:r>
      <w:r w:rsidR="00654A96">
        <w:rPr>
          <w:rFonts w:ascii="Times New Roman" w:hAnsi="Times New Roman"/>
          <w:sz w:val="24"/>
          <w:szCs w:val="24"/>
        </w:rPr>
        <w:t>444</w:t>
      </w:r>
      <w:r w:rsidRPr="002F6C5E">
        <w:rPr>
          <w:rFonts w:ascii="Times New Roman" w:hAnsi="Times New Roman"/>
          <w:sz w:val="24"/>
          <w:szCs w:val="24"/>
        </w:rPr>
        <w:t xml:space="preserve"> pesos colombianos</w:t>
      </w:r>
      <w:r w:rsidR="003941CA">
        <w:rPr>
          <w:rFonts w:ascii="Times New Roman" w:hAnsi="Times New Roman"/>
          <w:sz w:val="24"/>
          <w:szCs w:val="24"/>
        </w:rPr>
        <w:t>; e</w:t>
      </w:r>
      <w:r w:rsidR="00F92235" w:rsidRPr="00D90A17">
        <w:rPr>
          <w:rFonts w:ascii="Times New Roman" w:hAnsi="Times New Roman"/>
          <w:sz w:val="24"/>
          <w:szCs w:val="24"/>
        </w:rPr>
        <w:t xml:space="preserve">n cuanto a los resultados se cerró el mes con una </w:t>
      </w:r>
      <w:r w:rsidR="003941CA">
        <w:rPr>
          <w:rFonts w:ascii="Times New Roman" w:hAnsi="Times New Roman"/>
          <w:sz w:val="24"/>
          <w:szCs w:val="24"/>
        </w:rPr>
        <w:t xml:space="preserve">ganancia </w:t>
      </w:r>
      <w:r w:rsidR="00F92235" w:rsidRPr="00D90A17">
        <w:rPr>
          <w:rFonts w:ascii="Times New Roman" w:hAnsi="Times New Roman"/>
          <w:sz w:val="24"/>
          <w:szCs w:val="24"/>
        </w:rPr>
        <w:t>por $</w:t>
      </w:r>
      <w:r w:rsidR="00654A96">
        <w:rPr>
          <w:rFonts w:ascii="Times New Roman" w:hAnsi="Times New Roman"/>
          <w:sz w:val="24"/>
          <w:szCs w:val="24"/>
        </w:rPr>
        <w:t>16</w:t>
      </w:r>
      <w:r w:rsidR="00F92235" w:rsidRPr="00D90A17">
        <w:rPr>
          <w:rFonts w:ascii="Times New Roman" w:hAnsi="Times New Roman"/>
          <w:sz w:val="24"/>
          <w:szCs w:val="24"/>
        </w:rPr>
        <w:t>.</w:t>
      </w:r>
      <w:r w:rsidR="00654A96">
        <w:rPr>
          <w:rFonts w:ascii="Times New Roman" w:hAnsi="Times New Roman"/>
          <w:sz w:val="24"/>
          <w:szCs w:val="24"/>
        </w:rPr>
        <w:t>189.023</w:t>
      </w:r>
      <w:r w:rsidR="00F92235">
        <w:rPr>
          <w:rFonts w:ascii="Times New Roman" w:hAnsi="Times New Roman"/>
          <w:sz w:val="24"/>
          <w:szCs w:val="24"/>
        </w:rPr>
        <w:t xml:space="preserve"> </w:t>
      </w:r>
      <w:r w:rsidR="00F92235" w:rsidRPr="00D90A17">
        <w:rPr>
          <w:rFonts w:ascii="Times New Roman" w:hAnsi="Times New Roman"/>
          <w:sz w:val="24"/>
          <w:szCs w:val="24"/>
        </w:rPr>
        <w:t>pesos colombianos (Ver Nota 2</w:t>
      </w:r>
      <w:r w:rsidR="00F92235">
        <w:rPr>
          <w:rFonts w:ascii="Times New Roman" w:hAnsi="Times New Roman"/>
          <w:sz w:val="24"/>
          <w:szCs w:val="24"/>
        </w:rPr>
        <w:t>8</w:t>
      </w:r>
      <w:r w:rsidR="00F92235" w:rsidRPr="00D90A17">
        <w:rPr>
          <w:rFonts w:ascii="Times New Roman" w:hAnsi="Times New Roman"/>
          <w:sz w:val="24"/>
          <w:szCs w:val="24"/>
        </w:rPr>
        <w:t>.</w:t>
      </w:r>
      <w:r w:rsidR="00F92235">
        <w:rPr>
          <w:rFonts w:ascii="Times New Roman" w:hAnsi="Times New Roman"/>
          <w:sz w:val="24"/>
          <w:szCs w:val="24"/>
        </w:rPr>
        <w:t>2</w:t>
      </w:r>
      <w:r w:rsidR="00F92235" w:rsidRPr="00D90A17">
        <w:rPr>
          <w:rFonts w:ascii="Times New Roman" w:hAnsi="Times New Roman"/>
          <w:sz w:val="24"/>
          <w:szCs w:val="24"/>
        </w:rPr>
        <w:t>)</w:t>
      </w:r>
      <w:r w:rsidRPr="002F6C5E">
        <w:rPr>
          <w:rFonts w:ascii="Times New Roman" w:hAnsi="Times New Roman"/>
          <w:sz w:val="24"/>
          <w:szCs w:val="24"/>
        </w:rPr>
        <w:t>.</w:t>
      </w:r>
    </w:p>
    <w:p w14:paraId="2FDFAA57" w14:textId="1642A5C4" w:rsidR="00C7536F" w:rsidRDefault="001B08E0" w:rsidP="002F6C5E">
      <w:pPr>
        <w:jc w:val="both"/>
        <w:rPr>
          <w:rFonts w:ascii="Times New Roman" w:hAnsi="Times New Roman"/>
          <w:sz w:val="24"/>
          <w:szCs w:val="24"/>
        </w:rPr>
      </w:pPr>
      <w:r w:rsidRPr="001B08E0">
        <w:rPr>
          <w:rFonts w:ascii="Times New Roman" w:hAnsi="Times New Roman"/>
          <w:sz w:val="24"/>
          <w:szCs w:val="24"/>
        </w:rPr>
        <w:t>Lo anteriormente debido a que la inversión en Fondo de Inversión Colectiva (FIC) se mide por su valor razonable.</w:t>
      </w:r>
      <w:r>
        <w:rPr>
          <w:rFonts w:ascii="Times New Roman" w:hAnsi="Times New Roman"/>
          <w:sz w:val="24"/>
          <w:szCs w:val="24"/>
        </w:rPr>
        <w:t xml:space="preserve"> </w:t>
      </w:r>
      <w:r w:rsidR="00C7536F" w:rsidRPr="00C7536F">
        <w:rPr>
          <w:rFonts w:ascii="Times New Roman" w:hAnsi="Times New Roman"/>
          <w:sz w:val="24"/>
          <w:szCs w:val="24"/>
        </w:rPr>
        <w:t xml:space="preserve">Al cierre del periodo, la inversión </w:t>
      </w:r>
      <w:r w:rsidR="00C61D8A">
        <w:rPr>
          <w:rFonts w:ascii="Times New Roman" w:hAnsi="Times New Roman"/>
          <w:sz w:val="24"/>
          <w:szCs w:val="24"/>
        </w:rPr>
        <w:t>s</w:t>
      </w:r>
      <w:r w:rsidR="00C7536F" w:rsidRPr="00C7536F">
        <w:rPr>
          <w:rFonts w:ascii="Times New Roman" w:hAnsi="Times New Roman"/>
          <w:sz w:val="24"/>
          <w:szCs w:val="24"/>
        </w:rPr>
        <w:t>e actualiz</w:t>
      </w:r>
      <w:r w:rsidR="00B017E7">
        <w:rPr>
          <w:rFonts w:ascii="Times New Roman" w:hAnsi="Times New Roman"/>
          <w:sz w:val="24"/>
          <w:szCs w:val="24"/>
        </w:rPr>
        <w:t>ó</w:t>
      </w:r>
      <w:r w:rsidR="00C7536F" w:rsidRPr="00C7536F">
        <w:rPr>
          <w:rFonts w:ascii="Times New Roman" w:hAnsi="Times New Roman"/>
          <w:sz w:val="24"/>
          <w:szCs w:val="24"/>
        </w:rPr>
        <w:t xml:space="preserve"> por la valoración realizada por el fondo, que incluye la rentabilidad </w:t>
      </w:r>
      <w:r w:rsidR="000A63EB" w:rsidRPr="00C7536F">
        <w:rPr>
          <w:rFonts w:ascii="Times New Roman" w:hAnsi="Times New Roman"/>
          <w:sz w:val="24"/>
          <w:szCs w:val="24"/>
        </w:rPr>
        <w:t>de este</w:t>
      </w:r>
      <w:r w:rsidR="00C7536F" w:rsidRPr="00C7536F">
        <w:rPr>
          <w:rFonts w:ascii="Times New Roman" w:hAnsi="Times New Roman"/>
          <w:sz w:val="24"/>
          <w:szCs w:val="24"/>
        </w:rPr>
        <w:t>, así como los ajustes en su medición, las variaciones pueden tener rentabilidades que pueden ser positivas o negativas y de esa forma debe reconocerse en la información financiera, por lo que se refleja las variaciones positivas (como una cuenta del ingreso) y en otras las variaciones negativas (como una cuenta del gasto).</w:t>
      </w:r>
    </w:p>
    <w:p w14:paraId="7C370A3E" w14:textId="042345AD" w:rsidR="00C51746" w:rsidRPr="00C51746" w:rsidRDefault="00C51746" w:rsidP="00C919F5">
      <w:pPr>
        <w:spacing w:after="0" w:line="240" w:lineRule="auto"/>
        <w:jc w:val="both"/>
        <w:rPr>
          <w:rFonts w:ascii="Times New Roman" w:hAnsi="Times New Roman"/>
          <w:b/>
          <w:bCs/>
          <w:sz w:val="24"/>
          <w:szCs w:val="24"/>
        </w:rPr>
      </w:pPr>
      <w:r w:rsidRPr="00C51746">
        <w:rPr>
          <w:rFonts w:ascii="Times New Roman" w:hAnsi="Times New Roman"/>
          <w:b/>
          <w:bCs/>
          <w:sz w:val="24"/>
          <w:szCs w:val="24"/>
        </w:rPr>
        <w:t xml:space="preserve">Perdida por deterioro de valor </w:t>
      </w:r>
    </w:p>
    <w:p w14:paraId="4F0026EF" w14:textId="2ACBDC21" w:rsidR="00E15592" w:rsidRPr="00E15592" w:rsidRDefault="00E15592" w:rsidP="00C919F5">
      <w:pPr>
        <w:spacing w:after="0" w:line="240" w:lineRule="auto"/>
        <w:jc w:val="both"/>
        <w:rPr>
          <w:rFonts w:ascii="Times New Roman" w:hAnsi="Times New Roman"/>
          <w:sz w:val="24"/>
          <w:szCs w:val="24"/>
        </w:rPr>
      </w:pPr>
      <w:r w:rsidRPr="00E15592">
        <w:rPr>
          <w:rFonts w:ascii="Times New Roman" w:hAnsi="Times New Roman"/>
          <w:sz w:val="24"/>
          <w:szCs w:val="24"/>
        </w:rPr>
        <w:t xml:space="preserve">Respecto del uso de la expresión “pérdida por deterioro”, es importante mencionar y aclarar que las inversiones de administración de liquidez que se miden por su valor razonable, son afectados </w:t>
      </w:r>
      <w:r w:rsidRPr="00E15592">
        <w:rPr>
          <w:rFonts w:ascii="Times New Roman" w:hAnsi="Times New Roman"/>
          <w:sz w:val="24"/>
          <w:szCs w:val="24"/>
        </w:rPr>
        <w:lastRenderedPageBreak/>
        <w:t>por las variaciones del mercado (positivas y negativas) y su efecto cuando es negativo, no se considera como una pérdida por deterioro, sino como una disminución en su valor razonable; las inversiones que son medidas en la fecha inicial y posterior</w:t>
      </w:r>
      <w:r w:rsidR="00B017E7">
        <w:rPr>
          <w:rFonts w:ascii="Times New Roman" w:hAnsi="Times New Roman"/>
          <w:sz w:val="24"/>
          <w:szCs w:val="24"/>
        </w:rPr>
        <w:t>mente</w:t>
      </w:r>
      <w:r w:rsidRPr="00E15592">
        <w:rPr>
          <w:rFonts w:ascii="Times New Roman" w:hAnsi="Times New Roman"/>
          <w:sz w:val="24"/>
          <w:szCs w:val="24"/>
        </w:rPr>
        <w:t xml:space="preserve"> por su valor razonable</w:t>
      </w:r>
      <w:r w:rsidR="00B017E7">
        <w:rPr>
          <w:rFonts w:ascii="Times New Roman" w:hAnsi="Times New Roman"/>
          <w:sz w:val="24"/>
          <w:szCs w:val="24"/>
        </w:rPr>
        <w:t>,</w:t>
      </w:r>
      <w:r w:rsidRPr="00E15592">
        <w:rPr>
          <w:rFonts w:ascii="Times New Roman" w:hAnsi="Times New Roman"/>
          <w:sz w:val="24"/>
          <w:szCs w:val="24"/>
        </w:rPr>
        <w:t xml:space="preserve"> generalmente reconocen sus ajustes en el estado de resultados.</w:t>
      </w:r>
    </w:p>
    <w:p w14:paraId="12719987" w14:textId="77777777" w:rsidR="00C919F5" w:rsidRDefault="00C919F5" w:rsidP="00C919F5">
      <w:pPr>
        <w:spacing w:after="0" w:line="240" w:lineRule="auto"/>
        <w:jc w:val="both"/>
        <w:rPr>
          <w:rFonts w:ascii="Times New Roman" w:hAnsi="Times New Roman"/>
          <w:b/>
          <w:bCs/>
          <w:sz w:val="24"/>
          <w:szCs w:val="24"/>
        </w:rPr>
      </w:pPr>
    </w:p>
    <w:p w14:paraId="66CEB77B" w14:textId="34C8B26C" w:rsidR="0051295E" w:rsidRPr="0051295E" w:rsidRDefault="0051295E" w:rsidP="00C919F5">
      <w:pPr>
        <w:spacing w:after="0" w:line="240" w:lineRule="auto"/>
        <w:jc w:val="both"/>
        <w:rPr>
          <w:rFonts w:ascii="Times New Roman" w:hAnsi="Times New Roman"/>
          <w:b/>
          <w:bCs/>
          <w:sz w:val="24"/>
          <w:szCs w:val="24"/>
        </w:rPr>
      </w:pPr>
      <w:r w:rsidRPr="0051295E">
        <w:rPr>
          <w:rFonts w:ascii="Times New Roman" w:hAnsi="Times New Roman"/>
          <w:b/>
          <w:bCs/>
          <w:sz w:val="24"/>
          <w:szCs w:val="24"/>
        </w:rPr>
        <w:t xml:space="preserve">Inversiones de administración de liquidez a </w:t>
      </w:r>
      <w:r>
        <w:rPr>
          <w:rFonts w:ascii="Times New Roman" w:hAnsi="Times New Roman"/>
          <w:b/>
          <w:bCs/>
          <w:sz w:val="24"/>
          <w:szCs w:val="24"/>
        </w:rPr>
        <w:t>costo amortizado</w:t>
      </w:r>
    </w:p>
    <w:p w14:paraId="4452ED5E" w14:textId="0B81A526" w:rsidR="002F6C5E" w:rsidRDefault="002F6C5E" w:rsidP="002F6C5E">
      <w:pPr>
        <w:jc w:val="both"/>
        <w:rPr>
          <w:rFonts w:ascii="Times New Roman" w:hAnsi="Times New Roman"/>
          <w:sz w:val="24"/>
          <w:szCs w:val="24"/>
        </w:rPr>
      </w:pPr>
      <w:r w:rsidRPr="002F6C5E">
        <w:rPr>
          <w:rFonts w:ascii="Times New Roman" w:hAnsi="Times New Roman"/>
          <w:sz w:val="24"/>
          <w:szCs w:val="24"/>
        </w:rPr>
        <w:t xml:space="preserve">Al finalizar el mes de </w:t>
      </w:r>
      <w:r w:rsidR="00432519">
        <w:rPr>
          <w:rFonts w:ascii="Times New Roman" w:hAnsi="Times New Roman"/>
          <w:sz w:val="24"/>
          <w:szCs w:val="24"/>
        </w:rPr>
        <w:t>marzo 2022</w:t>
      </w:r>
      <w:r w:rsidRPr="002F6C5E">
        <w:rPr>
          <w:rFonts w:ascii="Times New Roman" w:hAnsi="Times New Roman"/>
          <w:sz w:val="24"/>
          <w:szCs w:val="24"/>
        </w:rPr>
        <w:t xml:space="preserve">, la entidad evalúo si las inversiones de administración de liquidez </w:t>
      </w:r>
      <w:r w:rsidR="00547377">
        <w:rPr>
          <w:rFonts w:ascii="Times New Roman" w:hAnsi="Times New Roman"/>
          <w:sz w:val="24"/>
          <w:szCs w:val="24"/>
        </w:rPr>
        <w:t xml:space="preserve">(TES) </w:t>
      </w:r>
      <w:r w:rsidRPr="002F6C5E">
        <w:rPr>
          <w:rFonts w:ascii="Times New Roman" w:hAnsi="Times New Roman"/>
          <w:sz w:val="24"/>
          <w:szCs w:val="24"/>
        </w:rPr>
        <w:t>clasificadas al costo amortizado presentaban indicios de deterioro, determinando que éstas no habían sufrido ninguna pérdida por dicho concepto. Para la evaluación de los indicios de deterioro, la entidad consideró las evidencias objetivas de incumplimiento de los pagos del emisor, así como el nivel de desmejoramiento de las condiciones crediticias del mismo.</w:t>
      </w:r>
    </w:p>
    <w:p w14:paraId="6065790B" w14:textId="5FAF5E8B" w:rsidR="00FD56C8" w:rsidRPr="00FD56C8" w:rsidRDefault="00FD56C8" w:rsidP="00545499">
      <w:pPr>
        <w:spacing w:after="0"/>
        <w:jc w:val="both"/>
        <w:rPr>
          <w:rFonts w:ascii="Times New Roman" w:hAnsi="Times New Roman"/>
          <w:b/>
          <w:bCs/>
          <w:sz w:val="24"/>
          <w:szCs w:val="24"/>
        </w:rPr>
      </w:pPr>
      <w:r w:rsidRPr="00FD56C8">
        <w:rPr>
          <w:rFonts w:ascii="Times New Roman" w:hAnsi="Times New Roman"/>
          <w:b/>
          <w:bCs/>
          <w:sz w:val="24"/>
          <w:szCs w:val="24"/>
        </w:rPr>
        <w:t>Deterioro de valor de instrumentos financieros frente al COVID - 19</w:t>
      </w:r>
    </w:p>
    <w:p w14:paraId="3DD98E2A" w14:textId="1A8FBB17" w:rsidR="002F6C5E" w:rsidRDefault="00FD56C8" w:rsidP="00FD56C8">
      <w:pPr>
        <w:jc w:val="both"/>
        <w:rPr>
          <w:rFonts w:ascii="Times New Roman" w:hAnsi="Times New Roman"/>
          <w:sz w:val="24"/>
          <w:szCs w:val="24"/>
        </w:rPr>
      </w:pPr>
      <w:r w:rsidRPr="00FD56C8">
        <w:rPr>
          <w:rFonts w:ascii="Times New Roman" w:hAnsi="Times New Roman"/>
          <w:sz w:val="24"/>
          <w:szCs w:val="24"/>
        </w:rPr>
        <w:t xml:space="preserve">Las inversiones de administración de liquidez constituidas por el Instituto en TES y CDTs se reconocen en la categoría del costo amortizado y se espera mantener hasta el vencimiento, con el fin de obtener rendimientos provenientes de los flujos contractuales de los instrumentos. Dada esta clasificación y la naturaleza de la entidad, el rubro no presenta </w:t>
      </w:r>
      <w:r w:rsidR="00CF249E">
        <w:rPr>
          <w:rFonts w:ascii="Times New Roman" w:hAnsi="Times New Roman"/>
          <w:sz w:val="24"/>
          <w:szCs w:val="24"/>
        </w:rPr>
        <w:t>mayo</w:t>
      </w:r>
      <w:r w:rsidRPr="00FD56C8">
        <w:rPr>
          <w:rFonts w:ascii="Times New Roman" w:hAnsi="Times New Roman"/>
          <w:sz w:val="24"/>
          <w:szCs w:val="24"/>
        </w:rPr>
        <w:t>r riesgo en cuanto a disminuciones en el valor razonable, por el fenómeno del COVID-19, aunque los mercados globales de capital hayan experimentado volatilidad y debilitamiento, significativos. En síntesis, como la intención del Instituto no es la compra y venta de este tipo de inversiones, sino la obtención de rendimientos al vencimiento, por esta razón no están sometidos al riesgo de variación en el valor razonable (contabilidad de coberturas).</w:t>
      </w:r>
    </w:p>
    <w:p w14:paraId="5308040F" w14:textId="0A941E6D" w:rsidR="000C20E0" w:rsidRPr="00E2373F" w:rsidRDefault="00572CDA" w:rsidP="00073315">
      <w:pPr>
        <w:pStyle w:val="Ttulo1"/>
      </w:pPr>
      <w:bookmarkStart w:id="25" w:name="_Toc99455312"/>
      <w:r w:rsidRPr="00E2373F">
        <w:t>NOTA 7. CUENTAS POR COBRAR</w:t>
      </w:r>
      <w:bookmarkEnd w:id="25"/>
    </w:p>
    <w:p w14:paraId="759094EE" w14:textId="77777777" w:rsidR="00A72395" w:rsidRPr="00E2373F" w:rsidRDefault="00A72395" w:rsidP="00CF249E">
      <w:pPr>
        <w:spacing w:after="0" w:line="240" w:lineRule="auto"/>
        <w:jc w:val="both"/>
        <w:rPr>
          <w:rFonts w:ascii="Times New Roman" w:hAnsi="Times New Roman"/>
          <w:b/>
          <w:sz w:val="24"/>
          <w:szCs w:val="24"/>
        </w:rPr>
      </w:pPr>
    </w:p>
    <w:p w14:paraId="46AE545D" w14:textId="77777777" w:rsidR="00572CDA" w:rsidRPr="00AC4D9D" w:rsidRDefault="00E067B1" w:rsidP="00CF249E">
      <w:pPr>
        <w:pStyle w:val="Ttulo2"/>
        <w:numPr>
          <w:ilvl w:val="0"/>
          <w:numId w:val="0"/>
        </w:numPr>
        <w:spacing w:line="240" w:lineRule="auto"/>
        <w:rPr>
          <w:szCs w:val="22"/>
        </w:rPr>
      </w:pPr>
      <w:bookmarkStart w:id="26" w:name="_Toc99455313"/>
      <w:r w:rsidRPr="00AC4D9D">
        <w:rPr>
          <w:szCs w:val="22"/>
        </w:rPr>
        <w:t>Composición</w:t>
      </w:r>
      <w:bookmarkEnd w:id="26"/>
    </w:p>
    <w:p w14:paraId="28E74ED3" w14:textId="77777777" w:rsidR="00E067B1" w:rsidRPr="00E2373F" w:rsidRDefault="00E067B1" w:rsidP="00CF249E">
      <w:pPr>
        <w:spacing w:after="0" w:line="240" w:lineRule="auto"/>
        <w:jc w:val="both"/>
        <w:rPr>
          <w:rFonts w:ascii="Times New Roman" w:hAnsi="Times New Roman"/>
          <w:b/>
          <w:sz w:val="24"/>
          <w:szCs w:val="24"/>
        </w:rPr>
      </w:pPr>
    </w:p>
    <w:p w14:paraId="26863DC0" w14:textId="1107B32F" w:rsidR="00A57BEF" w:rsidRDefault="00D30AF8" w:rsidP="00D30AF8">
      <w:pPr>
        <w:pStyle w:val="Prrafodelista"/>
        <w:spacing w:after="0" w:line="240" w:lineRule="auto"/>
        <w:ind w:left="0"/>
        <w:jc w:val="both"/>
        <w:rPr>
          <w:rFonts w:ascii="Times New Roman" w:hAnsi="Times New Roman"/>
          <w:sz w:val="24"/>
          <w:szCs w:val="24"/>
        </w:rPr>
      </w:pPr>
      <w:r w:rsidRPr="00D30AF8">
        <w:rPr>
          <w:rFonts w:ascii="Times New Roman" w:hAnsi="Times New Roman"/>
          <w:sz w:val="24"/>
          <w:szCs w:val="24"/>
        </w:rPr>
        <w:t xml:space="preserve">La desagregación de las cuentas por cobrar presentadas en el estado de situación financiera individual al </w:t>
      </w:r>
      <w:r w:rsidR="00432519">
        <w:rPr>
          <w:rFonts w:ascii="Times New Roman" w:hAnsi="Times New Roman"/>
          <w:sz w:val="24"/>
          <w:szCs w:val="24"/>
        </w:rPr>
        <w:t>31 de marzo de 2022 y 31 de marzo de 2021</w:t>
      </w:r>
      <w:r w:rsidR="008F65A9">
        <w:rPr>
          <w:rFonts w:ascii="Times New Roman" w:hAnsi="Times New Roman"/>
          <w:sz w:val="24"/>
          <w:szCs w:val="24"/>
        </w:rPr>
        <w:t xml:space="preserve"> </w:t>
      </w:r>
      <w:r w:rsidRPr="00D30AF8">
        <w:rPr>
          <w:rFonts w:ascii="Times New Roman" w:hAnsi="Times New Roman"/>
          <w:sz w:val="24"/>
          <w:szCs w:val="24"/>
        </w:rPr>
        <w:t>es la siguiente:</w:t>
      </w:r>
    </w:p>
    <w:p w14:paraId="48801268" w14:textId="3CBA5B2C" w:rsidR="00F7630C" w:rsidRDefault="00EA7E3D" w:rsidP="00D30AF8">
      <w:pPr>
        <w:pStyle w:val="Prrafodelista"/>
        <w:spacing w:after="0" w:line="240" w:lineRule="auto"/>
        <w:ind w:left="0"/>
        <w:jc w:val="both"/>
        <w:rPr>
          <w:rFonts w:ascii="Times New Roman" w:hAnsi="Times New Roman"/>
          <w:sz w:val="24"/>
          <w:szCs w:val="24"/>
        </w:rPr>
      </w:pPr>
      <w:r w:rsidRPr="00EA7E3D">
        <w:rPr>
          <w:noProof/>
        </w:rPr>
        <w:drawing>
          <wp:anchor distT="0" distB="0" distL="114300" distR="114300" simplePos="0" relativeHeight="252705792" behindDoc="1" locked="0" layoutInCell="1" allowOverlap="1" wp14:anchorId="01671814" wp14:editId="2D9E5DA3">
            <wp:simplePos x="0" y="0"/>
            <wp:positionH relativeFrom="column">
              <wp:posOffset>0</wp:posOffset>
            </wp:positionH>
            <wp:positionV relativeFrom="paragraph">
              <wp:posOffset>54610</wp:posOffset>
            </wp:positionV>
            <wp:extent cx="5881370" cy="1189355"/>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1370" cy="1189355"/>
                    </a:xfrm>
                    <a:prstGeom prst="rect">
                      <a:avLst/>
                    </a:prstGeom>
                    <a:noFill/>
                    <a:ln>
                      <a:noFill/>
                    </a:ln>
                  </pic:spPr>
                </pic:pic>
              </a:graphicData>
            </a:graphic>
          </wp:anchor>
        </w:drawing>
      </w:r>
    </w:p>
    <w:p w14:paraId="75C46B76" w14:textId="799DFB30" w:rsidR="00745605" w:rsidRDefault="00745605" w:rsidP="00D30AF8">
      <w:pPr>
        <w:pStyle w:val="Prrafodelista"/>
        <w:spacing w:after="0" w:line="240" w:lineRule="auto"/>
        <w:ind w:left="0"/>
        <w:jc w:val="both"/>
        <w:rPr>
          <w:noProof/>
        </w:rPr>
      </w:pPr>
    </w:p>
    <w:p w14:paraId="1DB41E55" w14:textId="77777777" w:rsidR="00FB33EC" w:rsidRDefault="00FB33EC" w:rsidP="00995713">
      <w:pPr>
        <w:spacing w:after="0" w:line="240" w:lineRule="auto"/>
        <w:jc w:val="both"/>
        <w:rPr>
          <w:rFonts w:ascii="Times New Roman" w:hAnsi="Times New Roman"/>
          <w:sz w:val="24"/>
          <w:szCs w:val="24"/>
        </w:rPr>
      </w:pPr>
    </w:p>
    <w:p w14:paraId="18CF661B" w14:textId="77777777" w:rsidR="00EA7E3D" w:rsidRDefault="00EA7E3D" w:rsidP="00995713">
      <w:pPr>
        <w:spacing w:after="0" w:line="240" w:lineRule="auto"/>
        <w:jc w:val="both"/>
        <w:rPr>
          <w:rFonts w:ascii="Times New Roman" w:hAnsi="Times New Roman"/>
          <w:sz w:val="24"/>
          <w:szCs w:val="24"/>
        </w:rPr>
      </w:pPr>
    </w:p>
    <w:p w14:paraId="21A9044E" w14:textId="77777777" w:rsidR="00EA7E3D" w:rsidRDefault="00EA7E3D" w:rsidP="00995713">
      <w:pPr>
        <w:spacing w:after="0" w:line="240" w:lineRule="auto"/>
        <w:jc w:val="both"/>
        <w:rPr>
          <w:rFonts w:ascii="Times New Roman" w:hAnsi="Times New Roman"/>
          <w:sz w:val="24"/>
          <w:szCs w:val="24"/>
        </w:rPr>
      </w:pPr>
    </w:p>
    <w:p w14:paraId="433CB9EA" w14:textId="77777777" w:rsidR="00EA7E3D" w:rsidRDefault="00EA7E3D" w:rsidP="00995713">
      <w:pPr>
        <w:spacing w:after="0" w:line="240" w:lineRule="auto"/>
        <w:jc w:val="both"/>
        <w:rPr>
          <w:rFonts w:ascii="Times New Roman" w:hAnsi="Times New Roman"/>
          <w:sz w:val="24"/>
          <w:szCs w:val="24"/>
        </w:rPr>
      </w:pPr>
    </w:p>
    <w:p w14:paraId="40CCBFE6" w14:textId="77777777" w:rsidR="00EA7E3D" w:rsidRDefault="00EA7E3D" w:rsidP="00995713">
      <w:pPr>
        <w:spacing w:after="0" w:line="240" w:lineRule="auto"/>
        <w:jc w:val="both"/>
        <w:rPr>
          <w:rFonts w:ascii="Times New Roman" w:hAnsi="Times New Roman"/>
          <w:sz w:val="24"/>
          <w:szCs w:val="24"/>
        </w:rPr>
      </w:pPr>
    </w:p>
    <w:p w14:paraId="1EC1FF28" w14:textId="77777777" w:rsidR="00C919F5" w:rsidRDefault="00C919F5" w:rsidP="00995713">
      <w:pPr>
        <w:spacing w:after="0" w:line="240" w:lineRule="auto"/>
        <w:jc w:val="both"/>
        <w:rPr>
          <w:rFonts w:ascii="Times New Roman" w:hAnsi="Times New Roman"/>
          <w:sz w:val="24"/>
          <w:szCs w:val="24"/>
        </w:rPr>
      </w:pPr>
    </w:p>
    <w:p w14:paraId="7AF38310" w14:textId="2F7B0D82" w:rsidR="00D41EBB" w:rsidRDefault="00E21DF6" w:rsidP="00995713">
      <w:pPr>
        <w:spacing w:after="0" w:line="240" w:lineRule="auto"/>
        <w:jc w:val="both"/>
        <w:rPr>
          <w:rFonts w:ascii="Times New Roman" w:hAnsi="Times New Roman"/>
          <w:sz w:val="24"/>
          <w:szCs w:val="24"/>
        </w:rPr>
      </w:pPr>
      <w:r w:rsidRPr="00E21DF6">
        <w:rPr>
          <w:rFonts w:ascii="Times New Roman" w:hAnsi="Times New Roman"/>
          <w:sz w:val="24"/>
          <w:szCs w:val="24"/>
        </w:rPr>
        <w:t xml:space="preserve">Las cuentas por cobrar se clasificarán en las categorías de costo. </w:t>
      </w:r>
    </w:p>
    <w:p w14:paraId="57B7E302" w14:textId="77777777" w:rsidR="00E56334" w:rsidRDefault="00E56334" w:rsidP="00995713">
      <w:pPr>
        <w:spacing w:after="0" w:line="240" w:lineRule="auto"/>
        <w:jc w:val="both"/>
        <w:rPr>
          <w:rFonts w:ascii="Times New Roman" w:hAnsi="Times New Roman"/>
          <w:sz w:val="24"/>
          <w:szCs w:val="24"/>
        </w:rPr>
      </w:pPr>
    </w:p>
    <w:p w14:paraId="4E257ECC" w14:textId="5C2D7A40" w:rsidR="00247219" w:rsidRDefault="00247219" w:rsidP="00995713">
      <w:pPr>
        <w:spacing w:after="0" w:line="240" w:lineRule="auto"/>
        <w:jc w:val="both"/>
        <w:rPr>
          <w:rFonts w:ascii="Times New Roman" w:hAnsi="Times New Roman"/>
          <w:sz w:val="24"/>
          <w:szCs w:val="24"/>
        </w:rPr>
      </w:pPr>
      <w:r w:rsidRPr="00247219">
        <w:rPr>
          <w:rFonts w:ascii="Times New Roman" w:hAnsi="Times New Roman"/>
          <w:sz w:val="24"/>
          <w:szCs w:val="24"/>
        </w:rPr>
        <w:t xml:space="preserve">De acuerdo con las políticas contables, las cuentas por cobrar originadas se realizan con condiciones </w:t>
      </w:r>
      <w:r w:rsidR="00C01F66">
        <w:rPr>
          <w:rFonts w:ascii="Times New Roman" w:hAnsi="Times New Roman"/>
          <w:sz w:val="24"/>
          <w:szCs w:val="24"/>
        </w:rPr>
        <w:t xml:space="preserve">normales </w:t>
      </w:r>
      <w:r w:rsidRPr="00247219">
        <w:rPr>
          <w:rFonts w:ascii="Times New Roman" w:hAnsi="Times New Roman"/>
          <w:sz w:val="24"/>
          <w:szCs w:val="24"/>
        </w:rPr>
        <w:t>de crédito</w:t>
      </w:r>
      <w:r>
        <w:rPr>
          <w:rFonts w:ascii="Times New Roman" w:hAnsi="Times New Roman"/>
          <w:sz w:val="24"/>
          <w:szCs w:val="24"/>
        </w:rPr>
        <w:t>.</w:t>
      </w:r>
    </w:p>
    <w:p w14:paraId="17B83B65" w14:textId="7627E9FB" w:rsidR="00244AF0" w:rsidRDefault="00745605" w:rsidP="00995713">
      <w:pPr>
        <w:spacing w:after="0" w:line="240" w:lineRule="auto"/>
        <w:jc w:val="both"/>
        <w:rPr>
          <w:rFonts w:ascii="Times New Roman" w:hAnsi="Times New Roman"/>
          <w:sz w:val="24"/>
          <w:szCs w:val="24"/>
        </w:rPr>
      </w:pPr>
      <w:r w:rsidRPr="00745605">
        <w:rPr>
          <w:rFonts w:ascii="Times New Roman" w:hAnsi="Times New Roman"/>
          <w:sz w:val="24"/>
          <w:szCs w:val="24"/>
        </w:rPr>
        <w:t xml:space="preserve">Castigo de Activos (baja de activos): El castigo registra el valor de los activos que se dan de baja porque dejaron de generar beneficios económicos futuros. El castigo corresponde a una depuración contable sobre partidas o cantidades registradas en el activo consideradas irrecuperables o de no conversión en efectivo, cumpliendo de esta manera con la integridad, </w:t>
      </w:r>
      <w:r w:rsidRPr="00745605">
        <w:rPr>
          <w:rFonts w:ascii="Times New Roman" w:hAnsi="Times New Roman"/>
          <w:sz w:val="24"/>
          <w:szCs w:val="24"/>
        </w:rPr>
        <w:lastRenderedPageBreak/>
        <w:t xml:space="preserve">verificabilidad y objetividad de las cifras reveladas frente a la realidad económica de los bienes, derechos y obligaciones existentes. </w:t>
      </w:r>
    </w:p>
    <w:p w14:paraId="57BE7885" w14:textId="6B0EC3FE" w:rsidR="00F2400D" w:rsidRPr="00745605" w:rsidRDefault="0031792E" w:rsidP="00995713">
      <w:pPr>
        <w:spacing w:after="0" w:line="240" w:lineRule="auto"/>
        <w:jc w:val="both"/>
        <w:rPr>
          <w:rFonts w:ascii="Times New Roman" w:hAnsi="Times New Roman"/>
          <w:sz w:val="24"/>
          <w:szCs w:val="24"/>
        </w:rPr>
      </w:pPr>
      <w:r w:rsidRPr="0031792E">
        <w:rPr>
          <w:noProof/>
        </w:rPr>
        <w:drawing>
          <wp:anchor distT="0" distB="0" distL="114300" distR="114300" simplePos="0" relativeHeight="252706816" behindDoc="1" locked="0" layoutInCell="1" allowOverlap="1" wp14:anchorId="6D81C910" wp14:editId="2EA36997">
            <wp:simplePos x="0" y="0"/>
            <wp:positionH relativeFrom="column">
              <wp:posOffset>0</wp:posOffset>
            </wp:positionH>
            <wp:positionV relativeFrom="paragraph">
              <wp:posOffset>48260</wp:posOffset>
            </wp:positionV>
            <wp:extent cx="5881370" cy="1510030"/>
            <wp:effectExtent l="0" t="0" r="508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1370" cy="1510030"/>
                    </a:xfrm>
                    <a:prstGeom prst="rect">
                      <a:avLst/>
                    </a:prstGeom>
                    <a:noFill/>
                    <a:ln>
                      <a:noFill/>
                    </a:ln>
                  </pic:spPr>
                </pic:pic>
              </a:graphicData>
            </a:graphic>
          </wp:anchor>
        </w:drawing>
      </w:r>
    </w:p>
    <w:p w14:paraId="3E461300" w14:textId="415FA8FC" w:rsidR="00244AF0" w:rsidRDefault="00244AF0" w:rsidP="00995713">
      <w:pPr>
        <w:spacing w:after="0" w:line="240" w:lineRule="auto"/>
        <w:jc w:val="both"/>
        <w:rPr>
          <w:noProof/>
        </w:rPr>
      </w:pPr>
    </w:p>
    <w:p w14:paraId="4D0BAF8E" w14:textId="2524D27E" w:rsidR="00E662D7" w:rsidRDefault="00E662D7" w:rsidP="00995713">
      <w:pPr>
        <w:spacing w:after="0" w:line="240" w:lineRule="auto"/>
        <w:jc w:val="both"/>
        <w:rPr>
          <w:rFonts w:ascii="Times New Roman" w:hAnsi="Times New Roman"/>
          <w:sz w:val="24"/>
          <w:szCs w:val="24"/>
        </w:rPr>
      </w:pPr>
    </w:p>
    <w:p w14:paraId="6D3A32A5" w14:textId="77777777" w:rsidR="00CC4371" w:rsidRDefault="00CC4371" w:rsidP="00E21DF6">
      <w:pPr>
        <w:pStyle w:val="Prrafodelista"/>
        <w:spacing w:after="0" w:line="240" w:lineRule="auto"/>
        <w:ind w:left="0"/>
        <w:jc w:val="both"/>
        <w:rPr>
          <w:rFonts w:ascii="Times New Roman" w:hAnsi="Times New Roman"/>
          <w:sz w:val="24"/>
          <w:szCs w:val="24"/>
        </w:rPr>
      </w:pPr>
    </w:p>
    <w:p w14:paraId="1515DE32" w14:textId="77777777" w:rsidR="00CC4371" w:rsidRDefault="00CC4371" w:rsidP="00E21DF6">
      <w:pPr>
        <w:pStyle w:val="Prrafodelista"/>
        <w:spacing w:after="0" w:line="240" w:lineRule="auto"/>
        <w:ind w:left="0"/>
        <w:jc w:val="both"/>
        <w:rPr>
          <w:rFonts w:ascii="Times New Roman" w:hAnsi="Times New Roman"/>
          <w:sz w:val="24"/>
          <w:szCs w:val="24"/>
        </w:rPr>
      </w:pPr>
    </w:p>
    <w:p w14:paraId="4902DB85" w14:textId="77777777" w:rsidR="00CC4371" w:rsidRDefault="00CC4371" w:rsidP="00E21DF6">
      <w:pPr>
        <w:pStyle w:val="Prrafodelista"/>
        <w:spacing w:after="0" w:line="240" w:lineRule="auto"/>
        <w:ind w:left="0"/>
        <w:jc w:val="both"/>
        <w:rPr>
          <w:rFonts w:ascii="Times New Roman" w:hAnsi="Times New Roman"/>
          <w:sz w:val="24"/>
          <w:szCs w:val="24"/>
        </w:rPr>
      </w:pPr>
    </w:p>
    <w:p w14:paraId="2A5BA265" w14:textId="77777777" w:rsidR="00CC4371" w:rsidRDefault="00CC4371" w:rsidP="00E21DF6">
      <w:pPr>
        <w:pStyle w:val="Prrafodelista"/>
        <w:spacing w:after="0" w:line="240" w:lineRule="auto"/>
        <w:ind w:left="0"/>
        <w:jc w:val="both"/>
        <w:rPr>
          <w:rFonts w:ascii="Times New Roman" w:hAnsi="Times New Roman"/>
          <w:sz w:val="24"/>
          <w:szCs w:val="24"/>
        </w:rPr>
      </w:pPr>
    </w:p>
    <w:p w14:paraId="5E603DB2" w14:textId="77777777" w:rsidR="00CC4371" w:rsidRDefault="00CC4371" w:rsidP="00E21DF6">
      <w:pPr>
        <w:pStyle w:val="Prrafodelista"/>
        <w:spacing w:after="0" w:line="240" w:lineRule="auto"/>
        <w:ind w:left="0"/>
        <w:jc w:val="both"/>
        <w:rPr>
          <w:rFonts w:ascii="Times New Roman" w:hAnsi="Times New Roman"/>
          <w:sz w:val="24"/>
          <w:szCs w:val="24"/>
        </w:rPr>
      </w:pPr>
    </w:p>
    <w:p w14:paraId="0040964E" w14:textId="77777777" w:rsidR="00CC4371" w:rsidRDefault="00CC4371" w:rsidP="00E21DF6">
      <w:pPr>
        <w:pStyle w:val="Prrafodelista"/>
        <w:spacing w:after="0" w:line="240" w:lineRule="auto"/>
        <w:ind w:left="0"/>
        <w:jc w:val="both"/>
        <w:rPr>
          <w:rFonts w:ascii="Times New Roman" w:hAnsi="Times New Roman"/>
          <w:sz w:val="24"/>
          <w:szCs w:val="24"/>
        </w:rPr>
      </w:pPr>
    </w:p>
    <w:p w14:paraId="3CE6E06E" w14:textId="1027624E" w:rsidR="00C82F8A" w:rsidRDefault="00E21DF6" w:rsidP="00E21DF6">
      <w:pPr>
        <w:pStyle w:val="Prrafodelista"/>
        <w:spacing w:after="0" w:line="240" w:lineRule="auto"/>
        <w:ind w:left="0"/>
        <w:jc w:val="both"/>
        <w:rPr>
          <w:rFonts w:ascii="Times New Roman" w:hAnsi="Times New Roman"/>
          <w:sz w:val="24"/>
          <w:szCs w:val="24"/>
        </w:rPr>
      </w:pPr>
      <w:r w:rsidRPr="00E21DF6">
        <w:rPr>
          <w:rFonts w:ascii="Times New Roman" w:hAnsi="Times New Roman"/>
          <w:sz w:val="24"/>
          <w:szCs w:val="24"/>
        </w:rPr>
        <w:t xml:space="preserve">Todos los montos son a corto plazo. El valor neto en libros de las cuentas por cobrar se considera como una aproximación del valor razonable.  </w:t>
      </w:r>
    </w:p>
    <w:p w14:paraId="066A9A3E" w14:textId="412262DA" w:rsidR="00545499" w:rsidRDefault="00545499" w:rsidP="00E21DF6">
      <w:pPr>
        <w:pStyle w:val="Prrafodelista"/>
        <w:spacing w:after="0" w:line="240" w:lineRule="auto"/>
        <w:ind w:left="0"/>
        <w:jc w:val="both"/>
        <w:rPr>
          <w:rFonts w:ascii="Times New Roman" w:eastAsiaTheme="majorEastAsia" w:hAnsi="Times New Roman" w:cstheme="majorBidi"/>
          <w:b/>
          <w:color w:val="1F3864" w:themeColor="accent1" w:themeShade="80"/>
          <w:sz w:val="24"/>
        </w:rPr>
      </w:pPr>
    </w:p>
    <w:p w14:paraId="79F6591D" w14:textId="200B459A" w:rsidR="00443269" w:rsidRDefault="00443269" w:rsidP="00E21DF6">
      <w:pPr>
        <w:pStyle w:val="Prrafodelista"/>
        <w:spacing w:after="0" w:line="240" w:lineRule="auto"/>
        <w:ind w:left="0"/>
        <w:jc w:val="both"/>
        <w:rPr>
          <w:rFonts w:ascii="Times New Roman" w:eastAsiaTheme="majorEastAsia" w:hAnsi="Times New Roman" w:cstheme="majorBidi"/>
          <w:b/>
          <w:color w:val="1F3864" w:themeColor="accent1" w:themeShade="80"/>
          <w:sz w:val="24"/>
        </w:rPr>
      </w:pPr>
      <w:r>
        <w:rPr>
          <w:rFonts w:ascii="Times New Roman" w:eastAsiaTheme="majorEastAsia" w:hAnsi="Times New Roman" w:cstheme="majorBidi"/>
          <w:b/>
          <w:color w:val="1F3864" w:themeColor="accent1" w:themeShade="80"/>
          <w:sz w:val="24"/>
        </w:rPr>
        <w:t>Otras cuentas por cobrar</w:t>
      </w:r>
    </w:p>
    <w:p w14:paraId="311B5BED" w14:textId="50A1E820" w:rsidR="00443269" w:rsidRDefault="0031792E" w:rsidP="00E21DF6">
      <w:pPr>
        <w:pStyle w:val="Prrafodelista"/>
        <w:spacing w:after="0" w:line="240" w:lineRule="auto"/>
        <w:ind w:left="0"/>
        <w:jc w:val="both"/>
        <w:rPr>
          <w:rFonts w:ascii="Times New Roman" w:eastAsiaTheme="majorEastAsia" w:hAnsi="Times New Roman" w:cstheme="majorBidi"/>
          <w:b/>
          <w:color w:val="1F3864" w:themeColor="accent1" w:themeShade="80"/>
          <w:sz w:val="24"/>
        </w:rPr>
      </w:pPr>
      <w:r w:rsidRPr="0031792E">
        <w:rPr>
          <w:noProof/>
        </w:rPr>
        <w:drawing>
          <wp:anchor distT="0" distB="0" distL="114300" distR="114300" simplePos="0" relativeHeight="252707840" behindDoc="1" locked="0" layoutInCell="1" allowOverlap="1" wp14:anchorId="20D80DFB" wp14:editId="689BC8B6">
            <wp:simplePos x="0" y="0"/>
            <wp:positionH relativeFrom="column">
              <wp:posOffset>0</wp:posOffset>
            </wp:positionH>
            <wp:positionV relativeFrom="paragraph">
              <wp:posOffset>29210</wp:posOffset>
            </wp:positionV>
            <wp:extent cx="5881370" cy="1791970"/>
            <wp:effectExtent l="0" t="0" r="508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1370" cy="1791970"/>
                    </a:xfrm>
                    <a:prstGeom prst="rect">
                      <a:avLst/>
                    </a:prstGeom>
                    <a:noFill/>
                    <a:ln>
                      <a:noFill/>
                    </a:ln>
                  </pic:spPr>
                </pic:pic>
              </a:graphicData>
            </a:graphic>
          </wp:anchor>
        </w:drawing>
      </w:r>
    </w:p>
    <w:p w14:paraId="4B2693CE" w14:textId="6DBF3681" w:rsidR="00443269" w:rsidRPr="00443269" w:rsidRDefault="00443269" w:rsidP="00E21DF6">
      <w:pPr>
        <w:pStyle w:val="Prrafodelista"/>
        <w:spacing w:after="0" w:line="240" w:lineRule="auto"/>
        <w:ind w:left="0"/>
        <w:jc w:val="both"/>
        <w:rPr>
          <w:rFonts w:ascii="Times New Roman" w:eastAsiaTheme="majorEastAsia" w:hAnsi="Times New Roman" w:cstheme="majorBidi"/>
          <w:b/>
          <w:color w:val="1F3864" w:themeColor="accent1" w:themeShade="80"/>
          <w:sz w:val="24"/>
        </w:rPr>
      </w:pPr>
    </w:p>
    <w:p w14:paraId="564F1D22" w14:textId="501C1FD8" w:rsidR="00C42209" w:rsidRDefault="00C42209" w:rsidP="00E45F07">
      <w:pPr>
        <w:pStyle w:val="Ttulo2"/>
        <w:numPr>
          <w:ilvl w:val="0"/>
          <w:numId w:val="0"/>
        </w:numPr>
        <w:rPr>
          <w:rFonts w:eastAsia="Calibri" w:cs="Times New Roman"/>
          <w:b w:val="0"/>
          <w:color w:val="auto"/>
          <w:szCs w:val="24"/>
        </w:rPr>
      </w:pPr>
      <w:bookmarkStart w:id="27" w:name="_Toc68891875"/>
      <w:bookmarkStart w:id="28" w:name="_Toc73043592"/>
    </w:p>
    <w:p w14:paraId="6A9B9201" w14:textId="2A4EA801" w:rsidR="00C42209" w:rsidRDefault="00C42209" w:rsidP="00E45F07">
      <w:pPr>
        <w:pStyle w:val="Ttulo2"/>
        <w:numPr>
          <w:ilvl w:val="0"/>
          <w:numId w:val="0"/>
        </w:numPr>
        <w:rPr>
          <w:rFonts w:eastAsia="Calibri" w:cs="Times New Roman"/>
          <w:b w:val="0"/>
          <w:color w:val="auto"/>
          <w:szCs w:val="24"/>
        </w:rPr>
      </w:pPr>
    </w:p>
    <w:p w14:paraId="5D4995B2" w14:textId="7717C2E4" w:rsidR="00C42209" w:rsidRDefault="00C42209" w:rsidP="00E45F07">
      <w:pPr>
        <w:pStyle w:val="Ttulo2"/>
        <w:numPr>
          <w:ilvl w:val="0"/>
          <w:numId w:val="0"/>
        </w:numPr>
        <w:rPr>
          <w:rFonts w:eastAsia="Calibri" w:cs="Times New Roman"/>
          <w:b w:val="0"/>
          <w:color w:val="auto"/>
          <w:szCs w:val="24"/>
        </w:rPr>
      </w:pPr>
    </w:p>
    <w:p w14:paraId="136BCE6F" w14:textId="77777777" w:rsidR="00C42209" w:rsidRDefault="00C42209" w:rsidP="00E45F07">
      <w:pPr>
        <w:pStyle w:val="Ttulo2"/>
        <w:numPr>
          <w:ilvl w:val="0"/>
          <w:numId w:val="0"/>
        </w:numPr>
        <w:rPr>
          <w:rFonts w:eastAsia="Calibri" w:cs="Times New Roman"/>
          <w:b w:val="0"/>
          <w:color w:val="auto"/>
          <w:szCs w:val="24"/>
        </w:rPr>
      </w:pPr>
    </w:p>
    <w:p w14:paraId="5A8D8DBA" w14:textId="1F76E946" w:rsidR="00C42209" w:rsidRDefault="00C42209" w:rsidP="00E45F07">
      <w:pPr>
        <w:pStyle w:val="Ttulo2"/>
        <w:numPr>
          <w:ilvl w:val="0"/>
          <w:numId w:val="0"/>
        </w:numPr>
        <w:rPr>
          <w:rFonts w:eastAsia="Calibri" w:cs="Times New Roman"/>
          <w:b w:val="0"/>
          <w:color w:val="auto"/>
          <w:szCs w:val="24"/>
        </w:rPr>
      </w:pPr>
    </w:p>
    <w:p w14:paraId="52D6A997" w14:textId="3245DF49" w:rsidR="00C42209" w:rsidRDefault="00C42209" w:rsidP="00E45F07">
      <w:pPr>
        <w:pStyle w:val="Ttulo2"/>
        <w:numPr>
          <w:ilvl w:val="0"/>
          <w:numId w:val="0"/>
        </w:numPr>
        <w:rPr>
          <w:rFonts w:eastAsia="Calibri" w:cs="Times New Roman"/>
          <w:b w:val="0"/>
          <w:color w:val="auto"/>
          <w:szCs w:val="24"/>
        </w:rPr>
      </w:pPr>
    </w:p>
    <w:p w14:paraId="06CD8E82" w14:textId="6FCD720E" w:rsidR="00AD4519" w:rsidRDefault="00AD4519" w:rsidP="00E45F07">
      <w:pPr>
        <w:pStyle w:val="Ttulo2"/>
        <w:numPr>
          <w:ilvl w:val="0"/>
          <w:numId w:val="0"/>
        </w:numPr>
        <w:rPr>
          <w:rFonts w:eastAsia="Calibri" w:cs="Times New Roman"/>
          <w:b w:val="0"/>
          <w:color w:val="auto"/>
          <w:szCs w:val="24"/>
        </w:rPr>
      </w:pPr>
    </w:p>
    <w:p w14:paraId="4AAA1F3F" w14:textId="0E8E2D19" w:rsidR="00AD4519" w:rsidRDefault="00AD4519" w:rsidP="00E45F07">
      <w:pPr>
        <w:pStyle w:val="Ttulo2"/>
        <w:numPr>
          <w:ilvl w:val="0"/>
          <w:numId w:val="0"/>
        </w:numPr>
        <w:rPr>
          <w:rFonts w:eastAsia="Calibri" w:cs="Times New Roman"/>
          <w:b w:val="0"/>
          <w:color w:val="auto"/>
          <w:szCs w:val="24"/>
        </w:rPr>
      </w:pPr>
    </w:p>
    <w:p w14:paraId="7BCFC93D" w14:textId="5BB97075" w:rsidR="00F16BF7" w:rsidRDefault="00700564" w:rsidP="0031792E">
      <w:pPr>
        <w:pStyle w:val="Ttulo2"/>
        <w:numPr>
          <w:ilvl w:val="0"/>
          <w:numId w:val="0"/>
        </w:numPr>
        <w:spacing w:line="240" w:lineRule="auto"/>
        <w:rPr>
          <w:rFonts w:eastAsia="Calibri" w:cs="Times New Roman"/>
          <w:b w:val="0"/>
          <w:color w:val="auto"/>
          <w:szCs w:val="24"/>
        </w:rPr>
      </w:pPr>
      <w:bookmarkStart w:id="29" w:name="_Toc98497764"/>
      <w:bookmarkStart w:id="30" w:name="_Toc99455314"/>
      <w:r>
        <w:rPr>
          <w:rFonts w:eastAsia="Calibri" w:cs="Times New Roman"/>
          <w:b w:val="0"/>
          <w:color w:val="auto"/>
          <w:szCs w:val="24"/>
        </w:rPr>
        <w:t xml:space="preserve">El rubro de indemnizaciones </w:t>
      </w:r>
      <w:r w:rsidR="003C186C">
        <w:rPr>
          <w:rFonts w:eastAsia="Calibri" w:cs="Times New Roman"/>
          <w:b w:val="0"/>
          <w:color w:val="auto"/>
          <w:szCs w:val="24"/>
        </w:rPr>
        <w:t xml:space="preserve">por $440.103.321 </w:t>
      </w:r>
      <w:r>
        <w:rPr>
          <w:rFonts w:eastAsia="Calibri" w:cs="Times New Roman"/>
          <w:b w:val="0"/>
          <w:color w:val="auto"/>
          <w:szCs w:val="24"/>
        </w:rPr>
        <w:t>corresponde al re</w:t>
      </w:r>
      <w:r w:rsidR="001F126B" w:rsidRPr="001F126B">
        <w:rPr>
          <w:rFonts w:eastAsia="Calibri" w:cs="Times New Roman"/>
          <w:b w:val="0"/>
          <w:color w:val="auto"/>
          <w:szCs w:val="24"/>
        </w:rPr>
        <w:t>gistro de</w:t>
      </w:r>
      <w:r>
        <w:rPr>
          <w:rFonts w:eastAsia="Calibri" w:cs="Times New Roman"/>
          <w:b w:val="0"/>
          <w:color w:val="auto"/>
          <w:szCs w:val="24"/>
        </w:rPr>
        <w:t>l</w:t>
      </w:r>
      <w:r w:rsidR="001F126B" w:rsidRPr="001F126B">
        <w:rPr>
          <w:rFonts w:eastAsia="Calibri" w:cs="Times New Roman"/>
          <w:b w:val="0"/>
          <w:color w:val="auto"/>
          <w:szCs w:val="24"/>
        </w:rPr>
        <w:t xml:space="preserve"> proceso por fallo favorable al ICFES Exp.4898</w:t>
      </w:r>
      <w:r w:rsidR="00FD5DA5">
        <w:rPr>
          <w:rFonts w:eastAsia="Calibri" w:cs="Times New Roman"/>
          <w:b w:val="0"/>
          <w:color w:val="auto"/>
          <w:szCs w:val="24"/>
        </w:rPr>
        <w:t xml:space="preserve"> y proceso No.</w:t>
      </w:r>
      <w:r w:rsidR="003C186C">
        <w:rPr>
          <w:rFonts w:eastAsia="Calibri" w:cs="Times New Roman"/>
          <w:b w:val="0"/>
          <w:color w:val="auto"/>
          <w:szCs w:val="24"/>
        </w:rPr>
        <w:t xml:space="preserve"> </w:t>
      </w:r>
      <w:r w:rsidR="00FD5DA5" w:rsidRPr="000B5E10">
        <w:rPr>
          <w:rFonts w:eastAsia="Calibri" w:cs="Times New Roman"/>
          <w:b w:val="0"/>
          <w:color w:val="auto"/>
          <w:szCs w:val="24"/>
        </w:rPr>
        <w:t>20180014200</w:t>
      </w:r>
      <w:r w:rsidR="00FD5DA5">
        <w:rPr>
          <w:rFonts w:eastAsia="Calibri" w:cs="Times New Roman"/>
          <w:b w:val="0"/>
          <w:color w:val="auto"/>
          <w:szCs w:val="24"/>
        </w:rPr>
        <w:t xml:space="preserve"> </w:t>
      </w:r>
      <w:r w:rsidR="001F126B" w:rsidRPr="001F126B">
        <w:rPr>
          <w:rFonts w:eastAsia="Calibri" w:cs="Times New Roman"/>
          <w:b w:val="0"/>
          <w:color w:val="auto"/>
          <w:szCs w:val="24"/>
        </w:rPr>
        <w:t xml:space="preserve">ante </w:t>
      </w:r>
      <w:r w:rsidR="00FD5DA5" w:rsidRPr="00FD5DA5">
        <w:rPr>
          <w:rFonts w:eastAsia="Calibri" w:cs="Times New Roman"/>
          <w:b w:val="0"/>
          <w:color w:val="auto"/>
          <w:szCs w:val="24"/>
        </w:rPr>
        <w:t>Procomercio S</w:t>
      </w:r>
      <w:r w:rsidR="00FD5DA5">
        <w:rPr>
          <w:rFonts w:eastAsia="Calibri" w:cs="Times New Roman"/>
          <w:b w:val="0"/>
          <w:color w:val="auto"/>
          <w:szCs w:val="24"/>
        </w:rPr>
        <w:t>.</w:t>
      </w:r>
      <w:r w:rsidR="00FD5DA5" w:rsidRPr="00FD5DA5">
        <w:rPr>
          <w:rFonts w:eastAsia="Calibri" w:cs="Times New Roman"/>
          <w:b w:val="0"/>
          <w:color w:val="auto"/>
          <w:szCs w:val="24"/>
        </w:rPr>
        <w:t>A</w:t>
      </w:r>
      <w:r w:rsidR="00FD5DA5">
        <w:rPr>
          <w:rFonts w:eastAsia="Calibri" w:cs="Times New Roman"/>
          <w:b w:val="0"/>
          <w:color w:val="auto"/>
          <w:szCs w:val="24"/>
        </w:rPr>
        <w:t>., por</w:t>
      </w:r>
      <w:r w:rsidR="001F126B" w:rsidRPr="001F126B">
        <w:rPr>
          <w:rFonts w:eastAsia="Calibri" w:cs="Times New Roman"/>
          <w:b w:val="0"/>
          <w:color w:val="auto"/>
          <w:szCs w:val="24"/>
        </w:rPr>
        <w:t xml:space="preserve"> incumplimiento</w:t>
      </w:r>
      <w:r w:rsidR="008B6CA7">
        <w:rPr>
          <w:rFonts w:eastAsia="Calibri" w:cs="Times New Roman"/>
          <w:b w:val="0"/>
          <w:color w:val="auto"/>
          <w:szCs w:val="24"/>
        </w:rPr>
        <w:t xml:space="preserve"> </w:t>
      </w:r>
      <w:r w:rsidR="001F126B" w:rsidRPr="001F126B">
        <w:rPr>
          <w:rFonts w:eastAsia="Calibri" w:cs="Times New Roman"/>
          <w:b w:val="0"/>
          <w:color w:val="auto"/>
          <w:szCs w:val="24"/>
        </w:rPr>
        <w:t xml:space="preserve">contractual </w:t>
      </w:r>
      <w:r w:rsidR="00FD5DA5" w:rsidRPr="00FD5DA5">
        <w:rPr>
          <w:rFonts w:eastAsia="Calibri" w:cs="Times New Roman"/>
          <w:b w:val="0"/>
          <w:color w:val="auto"/>
          <w:szCs w:val="24"/>
        </w:rPr>
        <w:t xml:space="preserve">ejecutoriado por </w:t>
      </w:r>
      <w:r w:rsidR="004435B8">
        <w:rPr>
          <w:rFonts w:eastAsia="Calibri" w:cs="Times New Roman"/>
          <w:b w:val="0"/>
          <w:color w:val="auto"/>
          <w:szCs w:val="24"/>
        </w:rPr>
        <w:t>r</w:t>
      </w:r>
      <w:r w:rsidR="00FD5DA5" w:rsidRPr="00FD5DA5">
        <w:rPr>
          <w:rFonts w:eastAsia="Calibri" w:cs="Times New Roman"/>
          <w:b w:val="0"/>
          <w:color w:val="auto"/>
          <w:szCs w:val="24"/>
        </w:rPr>
        <w:t xml:space="preserve">eparación </w:t>
      </w:r>
      <w:r w:rsidR="004435B8">
        <w:rPr>
          <w:rFonts w:eastAsia="Calibri" w:cs="Times New Roman"/>
          <w:b w:val="0"/>
          <w:color w:val="auto"/>
          <w:szCs w:val="24"/>
        </w:rPr>
        <w:t>directa</w:t>
      </w:r>
      <w:r>
        <w:rPr>
          <w:rFonts w:eastAsia="Calibri" w:cs="Times New Roman"/>
          <w:b w:val="0"/>
          <w:color w:val="auto"/>
          <w:szCs w:val="24"/>
        </w:rPr>
        <w:t>,</w:t>
      </w:r>
      <w:r w:rsidR="004435B8">
        <w:rPr>
          <w:rFonts w:eastAsia="Calibri" w:cs="Times New Roman"/>
          <w:b w:val="0"/>
          <w:color w:val="auto"/>
          <w:szCs w:val="24"/>
        </w:rPr>
        <w:t xml:space="preserve"> </w:t>
      </w:r>
      <w:r w:rsidR="00FD5DA5">
        <w:rPr>
          <w:rFonts w:eastAsia="Calibri" w:cs="Times New Roman"/>
          <w:b w:val="0"/>
          <w:color w:val="auto"/>
          <w:szCs w:val="24"/>
        </w:rPr>
        <w:t>derivado</w:t>
      </w:r>
      <w:r w:rsidR="000B5E10" w:rsidRPr="000B5E10">
        <w:rPr>
          <w:rFonts w:eastAsia="Calibri" w:cs="Times New Roman"/>
          <w:b w:val="0"/>
          <w:color w:val="auto"/>
          <w:szCs w:val="24"/>
        </w:rPr>
        <w:t xml:space="preserve">s del </w:t>
      </w:r>
      <w:r w:rsidR="00FD5DA5">
        <w:rPr>
          <w:rFonts w:eastAsia="Calibri" w:cs="Times New Roman"/>
          <w:b w:val="0"/>
          <w:color w:val="auto"/>
          <w:szCs w:val="24"/>
        </w:rPr>
        <w:t>r</w:t>
      </w:r>
      <w:r w:rsidR="000B5E10" w:rsidRPr="000B5E10">
        <w:rPr>
          <w:rFonts w:eastAsia="Calibri" w:cs="Times New Roman"/>
          <w:b w:val="0"/>
          <w:color w:val="auto"/>
          <w:szCs w:val="24"/>
        </w:rPr>
        <w:t xml:space="preserve">ecurso de </w:t>
      </w:r>
      <w:r w:rsidR="00FD5DA5">
        <w:rPr>
          <w:rFonts w:eastAsia="Calibri" w:cs="Times New Roman"/>
          <w:b w:val="0"/>
          <w:color w:val="auto"/>
          <w:szCs w:val="24"/>
        </w:rPr>
        <w:t>a</w:t>
      </w:r>
      <w:r w:rsidR="000B5E10" w:rsidRPr="000B5E10">
        <w:rPr>
          <w:rFonts w:eastAsia="Calibri" w:cs="Times New Roman"/>
          <w:b w:val="0"/>
          <w:color w:val="auto"/>
          <w:szCs w:val="24"/>
        </w:rPr>
        <w:t>nulación llevado a cabo ante la Sección Tercera del Consejo de Estado</w:t>
      </w:r>
      <w:r w:rsidR="000B5E10">
        <w:rPr>
          <w:rFonts w:eastAsia="Calibri" w:cs="Times New Roman"/>
          <w:b w:val="0"/>
          <w:color w:val="auto"/>
          <w:szCs w:val="24"/>
        </w:rPr>
        <w:t>.</w:t>
      </w:r>
      <w:bookmarkEnd w:id="27"/>
      <w:bookmarkEnd w:id="28"/>
      <w:bookmarkEnd w:id="29"/>
      <w:bookmarkEnd w:id="30"/>
    </w:p>
    <w:p w14:paraId="678EAAC1" w14:textId="27724BA3" w:rsidR="0031792E" w:rsidRDefault="0031792E" w:rsidP="0031792E">
      <w:pPr>
        <w:pStyle w:val="Ttulo2"/>
        <w:numPr>
          <w:ilvl w:val="0"/>
          <w:numId w:val="0"/>
        </w:numPr>
        <w:spacing w:line="240" w:lineRule="auto"/>
        <w:rPr>
          <w:szCs w:val="22"/>
        </w:rPr>
      </w:pPr>
      <w:bookmarkStart w:id="31" w:name="_Toc99455315"/>
    </w:p>
    <w:p w14:paraId="72685384" w14:textId="7A283A84" w:rsidR="00B31941" w:rsidRDefault="00E45F07" w:rsidP="0031792E">
      <w:pPr>
        <w:pStyle w:val="Ttulo2"/>
        <w:numPr>
          <w:ilvl w:val="0"/>
          <w:numId w:val="0"/>
        </w:numPr>
        <w:spacing w:line="240" w:lineRule="auto"/>
        <w:rPr>
          <w:szCs w:val="22"/>
        </w:rPr>
      </w:pPr>
      <w:r w:rsidRPr="00E45F07">
        <w:rPr>
          <w:szCs w:val="22"/>
        </w:rPr>
        <w:t>Análisis de vencimientos de la cartera por prestación de servicios</w:t>
      </w:r>
      <w:bookmarkEnd w:id="31"/>
    </w:p>
    <w:p w14:paraId="33345070" w14:textId="741C223A" w:rsidR="008B6CA7" w:rsidRPr="008B6CA7" w:rsidRDefault="00542A7F" w:rsidP="008B6CA7">
      <w:pPr>
        <w:spacing w:after="0" w:line="240" w:lineRule="auto"/>
      </w:pPr>
      <w:r w:rsidRPr="00542A7F">
        <w:rPr>
          <w:noProof/>
        </w:rPr>
        <w:drawing>
          <wp:anchor distT="0" distB="0" distL="114300" distR="114300" simplePos="0" relativeHeight="252708864" behindDoc="1" locked="0" layoutInCell="1" allowOverlap="1" wp14:anchorId="3B039B62" wp14:editId="689AB4DD">
            <wp:simplePos x="0" y="0"/>
            <wp:positionH relativeFrom="column">
              <wp:posOffset>0</wp:posOffset>
            </wp:positionH>
            <wp:positionV relativeFrom="paragraph">
              <wp:posOffset>23495</wp:posOffset>
            </wp:positionV>
            <wp:extent cx="5881370" cy="2727960"/>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1370" cy="2727960"/>
                    </a:xfrm>
                    <a:prstGeom prst="rect">
                      <a:avLst/>
                    </a:prstGeom>
                    <a:noFill/>
                    <a:ln>
                      <a:noFill/>
                    </a:ln>
                  </pic:spPr>
                </pic:pic>
              </a:graphicData>
            </a:graphic>
          </wp:anchor>
        </w:drawing>
      </w:r>
    </w:p>
    <w:p w14:paraId="1AF5569B" w14:textId="25F51239" w:rsidR="00B31941" w:rsidRPr="00E45F07" w:rsidRDefault="00B31941" w:rsidP="00667BC9">
      <w:pPr>
        <w:spacing w:after="0" w:line="240" w:lineRule="auto"/>
        <w:jc w:val="both"/>
        <w:rPr>
          <w:rFonts w:ascii="Times New Roman" w:hAnsi="Times New Roman"/>
          <w:b/>
          <w:bCs/>
          <w:sz w:val="24"/>
          <w:szCs w:val="24"/>
        </w:rPr>
      </w:pPr>
    </w:p>
    <w:p w14:paraId="45364525" w14:textId="1FC1E6CD" w:rsidR="00B31941" w:rsidRDefault="00B31941" w:rsidP="00667BC9">
      <w:pPr>
        <w:spacing w:after="0" w:line="240" w:lineRule="auto"/>
        <w:jc w:val="both"/>
        <w:rPr>
          <w:rFonts w:ascii="Times New Roman" w:hAnsi="Times New Roman"/>
          <w:sz w:val="24"/>
          <w:szCs w:val="24"/>
          <w:u w:val="single"/>
        </w:rPr>
      </w:pPr>
    </w:p>
    <w:p w14:paraId="0D49313D" w14:textId="5383D8D8" w:rsidR="00B31941" w:rsidRDefault="00B31941" w:rsidP="00667BC9">
      <w:pPr>
        <w:spacing w:after="0" w:line="240" w:lineRule="auto"/>
        <w:jc w:val="both"/>
        <w:rPr>
          <w:rFonts w:ascii="Times New Roman" w:hAnsi="Times New Roman"/>
          <w:sz w:val="24"/>
          <w:szCs w:val="24"/>
          <w:u w:val="single"/>
        </w:rPr>
      </w:pPr>
    </w:p>
    <w:p w14:paraId="391E164E" w14:textId="524A91B1" w:rsidR="00B31941" w:rsidRDefault="00B31941" w:rsidP="00667BC9">
      <w:pPr>
        <w:spacing w:after="0" w:line="240" w:lineRule="auto"/>
        <w:jc w:val="both"/>
        <w:rPr>
          <w:rFonts w:ascii="Times New Roman" w:hAnsi="Times New Roman"/>
          <w:sz w:val="24"/>
          <w:szCs w:val="24"/>
          <w:u w:val="single"/>
        </w:rPr>
      </w:pPr>
    </w:p>
    <w:p w14:paraId="11C40799" w14:textId="28643952" w:rsidR="00B31941" w:rsidRDefault="00B31941" w:rsidP="00667BC9">
      <w:pPr>
        <w:spacing w:after="0" w:line="240" w:lineRule="auto"/>
        <w:jc w:val="both"/>
        <w:rPr>
          <w:rFonts w:ascii="Times New Roman" w:hAnsi="Times New Roman"/>
          <w:sz w:val="24"/>
          <w:szCs w:val="24"/>
          <w:u w:val="single"/>
        </w:rPr>
      </w:pPr>
    </w:p>
    <w:p w14:paraId="27F7D63B" w14:textId="3F37BB49" w:rsidR="00B31941" w:rsidRDefault="00B31941" w:rsidP="00667BC9">
      <w:pPr>
        <w:spacing w:after="0" w:line="240" w:lineRule="auto"/>
        <w:jc w:val="both"/>
        <w:rPr>
          <w:rFonts w:ascii="Times New Roman" w:hAnsi="Times New Roman"/>
          <w:sz w:val="24"/>
          <w:szCs w:val="24"/>
          <w:u w:val="single"/>
        </w:rPr>
      </w:pPr>
    </w:p>
    <w:p w14:paraId="5818B7B6" w14:textId="474C92F0" w:rsidR="000B301B" w:rsidRDefault="000B301B" w:rsidP="00667BC9">
      <w:pPr>
        <w:spacing w:after="0" w:line="240" w:lineRule="auto"/>
        <w:jc w:val="both"/>
        <w:rPr>
          <w:rFonts w:ascii="Times New Roman" w:hAnsi="Times New Roman"/>
          <w:sz w:val="24"/>
          <w:szCs w:val="24"/>
          <w:u w:val="single"/>
        </w:rPr>
      </w:pPr>
    </w:p>
    <w:p w14:paraId="5FADE883" w14:textId="2DBDD5F0" w:rsidR="000B301B" w:rsidRDefault="000B301B" w:rsidP="00667BC9">
      <w:pPr>
        <w:spacing w:after="0" w:line="240" w:lineRule="auto"/>
        <w:jc w:val="both"/>
        <w:rPr>
          <w:rFonts w:ascii="Times New Roman" w:hAnsi="Times New Roman"/>
          <w:sz w:val="24"/>
          <w:szCs w:val="24"/>
          <w:u w:val="single"/>
        </w:rPr>
      </w:pPr>
    </w:p>
    <w:p w14:paraId="66C524B0" w14:textId="341D5F3C" w:rsidR="000B301B" w:rsidRDefault="000B301B" w:rsidP="00667BC9">
      <w:pPr>
        <w:spacing w:after="0" w:line="240" w:lineRule="auto"/>
        <w:jc w:val="both"/>
        <w:rPr>
          <w:rFonts w:ascii="Times New Roman" w:hAnsi="Times New Roman"/>
          <w:sz w:val="24"/>
          <w:szCs w:val="24"/>
          <w:u w:val="single"/>
        </w:rPr>
      </w:pPr>
    </w:p>
    <w:p w14:paraId="1DCD7A52" w14:textId="79175A43" w:rsidR="00C34BE0" w:rsidRDefault="00C34BE0" w:rsidP="00667BC9">
      <w:pPr>
        <w:spacing w:after="0" w:line="240" w:lineRule="auto"/>
        <w:jc w:val="both"/>
        <w:rPr>
          <w:rFonts w:ascii="Times New Roman" w:hAnsi="Times New Roman"/>
          <w:sz w:val="24"/>
          <w:szCs w:val="24"/>
          <w:u w:val="single"/>
        </w:rPr>
      </w:pPr>
    </w:p>
    <w:p w14:paraId="7AF039F6" w14:textId="208CE8C1" w:rsidR="007C1240" w:rsidRDefault="007C1240" w:rsidP="00667BC9">
      <w:pPr>
        <w:spacing w:after="0" w:line="240" w:lineRule="auto"/>
        <w:jc w:val="both"/>
        <w:rPr>
          <w:rFonts w:ascii="Times New Roman" w:hAnsi="Times New Roman"/>
          <w:sz w:val="24"/>
          <w:szCs w:val="24"/>
          <w:u w:val="single"/>
        </w:rPr>
      </w:pPr>
    </w:p>
    <w:p w14:paraId="4BFF68C2" w14:textId="0BED7BD5" w:rsidR="00C34BE0" w:rsidRDefault="00C34BE0" w:rsidP="00667BC9">
      <w:pPr>
        <w:spacing w:after="0" w:line="240" w:lineRule="auto"/>
        <w:jc w:val="both"/>
        <w:rPr>
          <w:rFonts w:ascii="Times New Roman" w:hAnsi="Times New Roman"/>
          <w:sz w:val="24"/>
          <w:szCs w:val="24"/>
          <w:u w:val="single"/>
        </w:rPr>
      </w:pPr>
    </w:p>
    <w:p w14:paraId="61C4F5EC" w14:textId="1B93250F" w:rsidR="00C34BE0" w:rsidRDefault="00C34BE0" w:rsidP="00062D2C">
      <w:pPr>
        <w:spacing w:after="0" w:line="240" w:lineRule="auto"/>
        <w:jc w:val="both"/>
        <w:rPr>
          <w:rFonts w:ascii="Times New Roman" w:hAnsi="Times New Roman"/>
          <w:sz w:val="24"/>
          <w:szCs w:val="24"/>
        </w:rPr>
      </w:pPr>
    </w:p>
    <w:p w14:paraId="1B227368" w14:textId="5A78B155" w:rsidR="00C34BE0" w:rsidRDefault="00C34BE0" w:rsidP="00062D2C">
      <w:pPr>
        <w:spacing w:after="0" w:line="240" w:lineRule="auto"/>
        <w:jc w:val="both"/>
        <w:rPr>
          <w:rFonts w:ascii="Times New Roman" w:hAnsi="Times New Roman"/>
          <w:sz w:val="24"/>
          <w:szCs w:val="24"/>
        </w:rPr>
      </w:pPr>
    </w:p>
    <w:p w14:paraId="78D75457" w14:textId="45C1CEB8" w:rsidR="003C186C" w:rsidRDefault="00542A7F" w:rsidP="00062D2C">
      <w:pPr>
        <w:spacing w:after="0" w:line="240" w:lineRule="auto"/>
        <w:jc w:val="both"/>
        <w:rPr>
          <w:rFonts w:ascii="Times New Roman" w:hAnsi="Times New Roman"/>
          <w:sz w:val="24"/>
          <w:szCs w:val="24"/>
        </w:rPr>
      </w:pPr>
      <w:r w:rsidRPr="00542A7F">
        <w:rPr>
          <w:noProof/>
        </w:rPr>
        <w:lastRenderedPageBreak/>
        <w:drawing>
          <wp:anchor distT="0" distB="0" distL="114300" distR="114300" simplePos="0" relativeHeight="252709888" behindDoc="1" locked="0" layoutInCell="1" allowOverlap="1" wp14:anchorId="666144B8" wp14:editId="30489483">
            <wp:simplePos x="0" y="0"/>
            <wp:positionH relativeFrom="column">
              <wp:posOffset>-31750</wp:posOffset>
            </wp:positionH>
            <wp:positionV relativeFrom="paragraph">
              <wp:posOffset>128270</wp:posOffset>
            </wp:positionV>
            <wp:extent cx="5881370" cy="1450340"/>
            <wp:effectExtent l="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1370" cy="1450340"/>
                    </a:xfrm>
                    <a:prstGeom prst="rect">
                      <a:avLst/>
                    </a:prstGeom>
                    <a:noFill/>
                    <a:ln>
                      <a:noFill/>
                    </a:ln>
                  </pic:spPr>
                </pic:pic>
              </a:graphicData>
            </a:graphic>
          </wp:anchor>
        </w:drawing>
      </w:r>
    </w:p>
    <w:p w14:paraId="1FF41173" w14:textId="59C1BA63" w:rsidR="005F292C" w:rsidRDefault="005F292C" w:rsidP="00062D2C">
      <w:pPr>
        <w:spacing w:after="0" w:line="240" w:lineRule="auto"/>
        <w:jc w:val="both"/>
        <w:rPr>
          <w:rFonts w:ascii="Times New Roman" w:hAnsi="Times New Roman"/>
          <w:sz w:val="24"/>
          <w:szCs w:val="24"/>
        </w:rPr>
      </w:pPr>
    </w:p>
    <w:p w14:paraId="39BE614B" w14:textId="77777777" w:rsidR="000F4656" w:rsidRDefault="000F4656" w:rsidP="00062D2C">
      <w:pPr>
        <w:spacing w:after="0" w:line="240" w:lineRule="auto"/>
        <w:jc w:val="both"/>
        <w:rPr>
          <w:rFonts w:ascii="Times New Roman" w:hAnsi="Times New Roman"/>
          <w:sz w:val="24"/>
          <w:szCs w:val="24"/>
        </w:rPr>
      </w:pPr>
    </w:p>
    <w:p w14:paraId="1A908839" w14:textId="77777777" w:rsidR="00951DCF" w:rsidRDefault="00951DCF" w:rsidP="00062D2C">
      <w:pPr>
        <w:spacing w:after="0" w:line="240" w:lineRule="auto"/>
        <w:jc w:val="both"/>
        <w:rPr>
          <w:rFonts w:ascii="Times New Roman" w:hAnsi="Times New Roman"/>
          <w:sz w:val="24"/>
          <w:szCs w:val="24"/>
        </w:rPr>
      </w:pPr>
    </w:p>
    <w:p w14:paraId="20527137" w14:textId="77777777" w:rsidR="00951DCF" w:rsidRDefault="00951DCF" w:rsidP="00062D2C">
      <w:pPr>
        <w:spacing w:after="0" w:line="240" w:lineRule="auto"/>
        <w:jc w:val="both"/>
        <w:rPr>
          <w:rFonts w:ascii="Times New Roman" w:hAnsi="Times New Roman"/>
          <w:sz w:val="24"/>
          <w:szCs w:val="24"/>
        </w:rPr>
      </w:pPr>
    </w:p>
    <w:p w14:paraId="1CB88862" w14:textId="77777777" w:rsidR="00951DCF" w:rsidRDefault="00951DCF" w:rsidP="00062D2C">
      <w:pPr>
        <w:spacing w:after="0" w:line="240" w:lineRule="auto"/>
        <w:jc w:val="both"/>
        <w:rPr>
          <w:rFonts w:ascii="Times New Roman" w:hAnsi="Times New Roman"/>
          <w:sz w:val="24"/>
          <w:szCs w:val="24"/>
        </w:rPr>
      </w:pPr>
    </w:p>
    <w:p w14:paraId="076277F0" w14:textId="77777777" w:rsidR="00E56334" w:rsidRDefault="00E56334" w:rsidP="00062D2C">
      <w:pPr>
        <w:spacing w:after="0" w:line="240" w:lineRule="auto"/>
        <w:jc w:val="both"/>
        <w:rPr>
          <w:rFonts w:ascii="Times New Roman" w:hAnsi="Times New Roman"/>
          <w:sz w:val="24"/>
          <w:szCs w:val="24"/>
        </w:rPr>
      </w:pPr>
    </w:p>
    <w:p w14:paraId="7DEF68C5" w14:textId="77777777" w:rsidR="00E56334" w:rsidRDefault="00E56334" w:rsidP="00062D2C">
      <w:pPr>
        <w:spacing w:after="0" w:line="240" w:lineRule="auto"/>
        <w:jc w:val="both"/>
        <w:rPr>
          <w:rFonts w:ascii="Times New Roman" w:hAnsi="Times New Roman"/>
          <w:sz w:val="24"/>
          <w:szCs w:val="24"/>
        </w:rPr>
      </w:pPr>
    </w:p>
    <w:p w14:paraId="66EAD0BA" w14:textId="77777777" w:rsidR="00E56334" w:rsidRDefault="00E56334" w:rsidP="00062D2C">
      <w:pPr>
        <w:spacing w:after="0" w:line="240" w:lineRule="auto"/>
        <w:jc w:val="both"/>
        <w:rPr>
          <w:rFonts w:ascii="Times New Roman" w:hAnsi="Times New Roman"/>
          <w:sz w:val="24"/>
          <w:szCs w:val="24"/>
        </w:rPr>
      </w:pPr>
    </w:p>
    <w:p w14:paraId="1FB3CB99" w14:textId="3D62A673" w:rsidR="00062D2C" w:rsidRPr="00062D2C"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 xml:space="preserve">La cartera pendiente de recaudo </w:t>
      </w:r>
      <w:r w:rsidR="00E662D7">
        <w:rPr>
          <w:rFonts w:ascii="Times New Roman" w:hAnsi="Times New Roman"/>
          <w:sz w:val="24"/>
          <w:szCs w:val="24"/>
        </w:rPr>
        <w:t>mayor</w:t>
      </w:r>
      <w:r w:rsidRPr="00062D2C">
        <w:rPr>
          <w:rFonts w:ascii="Times New Roman" w:hAnsi="Times New Roman"/>
          <w:sz w:val="24"/>
          <w:szCs w:val="24"/>
        </w:rPr>
        <w:t xml:space="preserve"> a 180 días por $ 14.730.920 en pesos colombianos adeudado por la Comisión Nacional del Servicio Civil, corresponde a Convenio No. 165 de 2013, no se realiza cálculo de costo amortizado porque </w:t>
      </w:r>
      <w:r w:rsidR="0006705B">
        <w:rPr>
          <w:rFonts w:ascii="Times New Roman" w:hAnsi="Times New Roman"/>
          <w:sz w:val="24"/>
          <w:szCs w:val="24"/>
        </w:rPr>
        <w:t xml:space="preserve">las </w:t>
      </w:r>
      <w:r w:rsidRPr="00062D2C">
        <w:rPr>
          <w:rFonts w:ascii="Times New Roman" w:hAnsi="Times New Roman"/>
          <w:sz w:val="24"/>
          <w:szCs w:val="24"/>
        </w:rPr>
        <w:t>no se presenta un acuerdo de pago o un plazo establecido que permita su cancelación.</w:t>
      </w:r>
    </w:p>
    <w:p w14:paraId="4F967530" w14:textId="77777777" w:rsidR="00062D2C" w:rsidRPr="00062D2C"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 xml:space="preserve">  </w:t>
      </w:r>
    </w:p>
    <w:p w14:paraId="68D67AE8" w14:textId="2CACDF91" w:rsidR="006F1AF1" w:rsidRDefault="0022669F" w:rsidP="00062D2C">
      <w:pPr>
        <w:spacing w:after="0" w:line="240" w:lineRule="auto"/>
        <w:jc w:val="both"/>
        <w:rPr>
          <w:rFonts w:ascii="Times New Roman" w:hAnsi="Times New Roman"/>
          <w:b/>
          <w:bCs/>
          <w:sz w:val="24"/>
          <w:szCs w:val="24"/>
        </w:rPr>
      </w:pPr>
      <w:r>
        <w:rPr>
          <w:rFonts w:ascii="Times New Roman" w:hAnsi="Times New Roman"/>
          <w:b/>
          <w:bCs/>
          <w:sz w:val="24"/>
          <w:szCs w:val="24"/>
        </w:rPr>
        <w:t>C</w:t>
      </w:r>
      <w:r w:rsidR="003F0C50" w:rsidRPr="006F1AF1">
        <w:rPr>
          <w:rFonts w:ascii="Times New Roman" w:hAnsi="Times New Roman"/>
          <w:b/>
          <w:bCs/>
          <w:sz w:val="24"/>
          <w:szCs w:val="24"/>
        </w:rPr>
        <w:t>uentas por cobrar</w:t>
      </w:r>
      <w:r>
        <w:rPr>
          <w:rFonts w:ascii="Times New Roman" w:hAnsi="Times New Roman"/>
          <w:b/>
          <w:bCs/>
          <w:sz w:val="24"/>
          <w:szCs w:val="24"/>
        </w:rPr>
        <w:t xml:space="preserve"> </w:t>
      </w:r>
      <w:r w:rsidR="007E1298">
        <w:rPr>
          <w:rFonts w:ascii="Times New Roman" w:hAnsi="Times New Roman"/>
          <w:b/>
          <w:bCs/>
          <w:sz w:val="24"/>
          <w:szCs w:val="24"/>
        </w:rPr>
        <w:t>vencidas no deterioradas</w:t>
      </w:r>
    </w:p>
    <w:p w14:paraId="117351FD" w14:textId="1EB33109" w:rsidR="007E1298" w:rsidRDefault="00677E38" w:rsidP="00062D2C">
      <w:pPr>
        <w:spacing w:after="0" w:line="240" w:lineRule="auto"/>
        <w:jc w:val="both"/>
        <w:rPr>
          <w:rFonts w:ascii="Times New Roman" w:hAnsi="Times New Roman"/>
          <w:b/>
          <w:bCs/>
          <w:sz w:val="24"/>
          <w:szCs w:val="24"/>
        </w:rPr>
      </w:pPr>
      <w:r w:rsidRPr="00677E38">
        <w:rPr>
          <w:noProof/>
        </w:rPr>
        <w:drawing>
          <wp:anchor distT="0" distB="0" distL="114300" distR="114300" simplePos="0" relativeHeight="252101632" behindDoc="1" locked="0" layoutInCell="1" allowOverlap="1" wp14:anchorId="73A3E6DA" wp14:editId="59E14A0F">
            <wp:simplePos x="0" y="0"/>
            <wp:positionH relativeFrom="column">
              <wp:posOffset>-29210</wp:posOffset>
            </wp:positionH>
            <wp:positionV relativeFrom="paragraph">
              <wp:posOffset>84455</wp:posOffset>
            </wp:positionV>
            <wp:extent cx="5791835" cy="850265"/>
            <wp:effectExtent l="0" t="0" r="0" b="698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835" cy="850265"/>
                    </a:xfrm>
                    <a:prstGeom prst="rect">
                      <a:avLst/>
                    </a:prstGeom>
                    <a:noFill/>
                    <a:ln>
                      <a:noFill/>
                    </a:ln>
                  </pic:spPr>
                </pic:pic>
              </a:graphicData>
            </a:graphic>
          </wp:anchor>
        </w:drawing>
      </w:r>
    </w:p>
    <w:p w14:paraId="4466922C" w14:textId="1C3D51CB" w:rsidR="007E1298" w:rsidRDefault="007E1298" w:rsidP="00062D2C">
      <w:pPr>
        <w:spacing w:after="0" w:line="240" w:lineRule="auto"/>
        <w:jc w:val="both"/>
        <w:rPr>
          <w:rFonts w:ascii="Times New Roman" w:hAnsi="Times New Roman"/>
          <w:sz w:val="24"/>
          <w:szCs w:val="24"/>
        </w:rPr>
      </w:pPr>
    </w:p>
    <w:p w14:paraId="10258D70" w14:textId="77777777" w:rsidR="007C0E15" w:rsidRDefault="007C0E15" w:rsidP="00062D2C">
      <w:pPr>
        <w:spacing w:after="0" w:line="240" w:lineRule="auto"/>
        <w:jc w:val="both"/>
        <w:rPr>
          <w:rFonts w:ascii="Times New Roman" w:hAnsi="Times New Roman"/>
          <w:b/>
          <w:bCs/>
          <w:sz w:val="24"/>
          <w:szCs w:val="24"/>
        </w:rPr>
      </w:pPr>
    </w:p>
    <w:p w14:paraId="1AB493A5" w14:textId="77777777" w:rsidR="0019140F" w:rsidRDefault="0019140F" w:rsidP="00C437AA">
      <w:pPr>
        <w:spacing w:after="0" w:line="240" w:lineRule="auto"/>
        <w:jc w:val="both"/>
        <w:rPr>
          <w:rFonts w:ascii="Times New Roman" w:hAnsi="Times New Roman"/>
          <w:sz w:val="24"/>
          <w:szCs w:val="24"/>
        </w:rPr>
      </w:pPr>
    </w:p>
    <w:p w14:paraId="7AE721E7" w14:textId="77777777" w:rsidR="0019140F" w:rsidRDefault="0019140F" w:rsidP="00C437AA">
      <w:pPr>
        <w:spacing w:after="0" w:line="240" w:lineRule="auto"/>
        <w:jc w:val="both"/>
        <w:rPr>
          <w:rFonts w:ascii="Times New Roman" w:hAnsi="Times New Roman"/>
          <w:sz w:val="24"/>
          <w:szCs w:val="24"/>
        </w:rPr>
      </w:pPr>
    </w:p>
    <w:p w14:paraId="2EB7E8F4" w14:textId="77777777" w:rsidR="00951DCF" w:rsidRDefault="00951DCF" w:rsidP="00C437AA">
      <w:pPr>
        <w:spacing w:after="0" w:line="240" w:lineRule="auto"/>
        <w:jc w:val="both"/>
        <w:rPr>
          <w:rFonts w:ascii="Times New Roman" w:hAnsi="Times New Roman"/>
          <w:sz w:val="24"/>
          <w:szCs w:val="24"/>
        </w:rPr>
      </w:pPr>
    </w:p>
    <w:p w14:paraId="1A22CFDB" w14:textId="7F4D0ADA" w:rsidR="00C437AA" w:rsidRPr="00FA6E90" w:rsidRDefault="001F00E0" w:rsidP="00C437AA">
      <w:pPr>
        <w:spacing w:after="0" w:line="240" w:lineRule="auto"/>
        <w:jc w:val="both"/>
        <w:rPr>
          <w:rFonts w:ascii="Times New Roman" w:hAnsi="Times New Roman"/>
          <w:sz w:val="24"/>
          <w:szCs w:val="24"/>
        </w:rPr>
      </w:pPr>
      <w:r w:rsidRPr="00FA6E90">
        <w:rPr>
          <w:rFonts w:ascii="Times New Roman" w:hAnsi="Times New Roman"/>
          <w:sz w:val="24"/>
          <w:szCs w:val="24"/>
        </w:rPr>
        <w:t xml:space="preserve">La cartera </w:t>
      </w:r>
      <w:r w:rsidR="00D573DF" w:rsidRPr="00FA6E90">
        <w:rPr>
          <w:rFonts w:ascii="Times New Roman" w:hAnsi="Times New Roman"/>
          <w:sz w:val="24"/>
          <w:szCs w:val="24"/>
        </w:rPr>
        <w:t xml:space="preserve">por cobrar </w:t>
      </w:r>
      <w:r w:rsidR="00FA6E90">
        <w:rPr>
          <w:rFonts w:ascii="Times New Roman" w:hAnsi="Times New Roman"/>
          <w:sz w:val="24"/>
          <w:szCs w:val="24"/>
        </w:rPr>
        <w:t xml:space="preserve">vencida y no deteriorada </w:t>
      </w:r>
      <w:r w:rsidR="00CF0382">
        <w:rPr>
          <w:rFonts w:ascii="Times New Roman" w:hAnsi="Times New Roman"/>
          <w:sz w:val="24"/>
          <w:szCs w:val="24"/>
        </w:rPr>
        <w:t xml:space="preserve">corresponde a Opera </w:t>
      </w:r>
      <w:r w:rsidR="003A683F" w:rsidRPr="003A683F">
        <w:rPr>
          <w:rFonts w:ascii="Times New Roman" w:hAnsi="Times New Roman"/>
          <w:sz w:val="24"/>
          <w:szCs w:val="24"/>
        </w:rPr>
        <w:t>Inversiones Urbanas S.A.S</w:t>
      </w:r>
      <w:r w:rsidR="005A5FD9">
        <w:rPr>
          <w:rFonts w:ascii="Times New Roman" w:hAnsi="Times New Roman"/>
          <w:sz w:val="24"/>
          <w:szCs w:val="24"/>
        </w:rPr>
        <w:t xml:space="preserve">; </w:t>
      </w:r>
      <w:r w:rsidR="0032109C">
        <w:rPr>
          <w:rFonts w:ascii="Times New Roman" w:hAnsi="Times New Roman"/>
          <w:sz w:val="24"/>
          <w:szCs w:val="24"/>
        </w:rPr>
        <w:t xml:space="preserve">actualmente se están adelantando la gestión de cobro </w:t>
      </w:r>
      <w:r w:rsidR="00C437AA">
        <w:rPr>
          <w:rFonts w:ascii="Times New Roman" w:hAnsi="Times New Roman"/>
          <w:sz w:val="24"/>
          <w:szCs w:val="24"/>
        </w:rPr>
        <w:t xml:space="preserve">pertinente </w:t>
      </w:r>
      <w:r w:rsidR="0032109C">
        <w:rPr>
          <w:rFonts w:ascii="Times New Roman" w:hAnsi="Times New Roman"/>
          <w:sz w:val="24"/>
          <w:szCs w:val="24"/>
        </w:rPr>
        <w:t>para el pago de esta cartera</w:t>
      </w:r>
      <w:r w:rsidR="00C437AA">
        <w:rPr>
          <w:rFonts w:ascii="Times New Roman" w:hAnsi="Times New Roman"/>
          <w:sz w:val="24"/>
          <w:szCs w:val="24"/>
        </w:rPr>
        <w:t>.</w:t>
      </w:r>
    </w:p>
    <w:p w14:paraId="040E0966" w14:textId="77777777" w:rsidR="00415949" w:rsidRDefault="00415949" w:rsidP="00062D2C">
      <w:pPr>
        <w:spacing w:after="0" w:line="240" w:lineRule="auto"/>
        <w:jc w:val="both"/>
        <w:rPr>
          <w:rFonts w:ascii="Times New Roman" w:hAnsi="Times New Roman"/>
          <w:b/>
          <w:bCs/>
          <w:sz w:val="24"/>
          <w:szCs w:val="24"/>
        </w:rPr>
      </w:pPr>
    </w:p>
    <w:p w14:paraId="5A1A8CA6" w14:textId="7E3CF849" w:rsidR="00062D2C" w:rsidRPr="006F1AF1" w:rsidRDefault="00062D2C" w:rsidP="00062D2C">
      <w:pPr>
        <w:spacing w:after="0" w:line="240" w:lineRule="auto"/>
        <w:jc w:val="both"/>
        <w:rPr>
          <w:rFonts w:ascii="Times New Roman" w:hAnsi="Times New Roman"/>
          <w:b/>
          <w:bCs/>
          <w:sz w:val="24"/>
          <w:szCs w:val="24"/>
        </w:rPr>
      </w:pPr>
      <w:r w:rsidRPr="006F1AF1">
        <w:rPr>
          <w:rFonts w:ascii="Times New Roman" w:hAnsi="Times New Roman"/>
          <w:b/>
          <w:bCs/>
          <w:sz w:val="24"/>
          <w:szCs w:val="24"/>
        </w:rPr>
        <w:t xml:space="preserve">Deterioro acumulado de las cuentas por cobrar                          </w:t>
      </w:r>
    </w:p>
    <w:p w14:paraId="61962D12" w14:textId="465FBAE6" w:rsidR="00062D2C" w:rsidRPr="00062D2C"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Corresponden $7.780.763 en pesos colombianos, saldo de las cuentas por cobrar de la Fundación para la Educación Superior Real de Colombia, se reconoce una perdida por deterioro debido a que lleva más de un año en cobranza judicial y por qué se han agotado todos los medios de cobro.</w:t>
      </w:r>
    </w:p>
    <w:p w14:paraId="262DF418" w14:textId="77777777" w:rsidR="00E56334" w:rsidRDefault="00E56334" w:rsidP="00062D2C">
      <w:pPr>
        <w:spacing w:after="0" w:line="240" w:lineRule="auto"/>
        <w:jc w:val="both"/>
        <w:rPr>
          <w:rFonts w:ascii="Times New Roman" w:hAnsi="Times New Roman"/>
          <w:sz w:val="24"/>
          <w:szCs w:val="24"/>
        </w:rPr>
      </w:pPr>
    </w:p>
    <w:p w14:paraId="33EB9714" w14:textId="47DC0C99" w:rsidR="00901A95"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 xml:space="preserve">La entidad se dispondrá de la subcuenta denominada “Deterioro acumulado de cuentas por cobrar (CR)” en donde registrará el deterioro correspondiente a las Cuentas por Cobrar donde se tiene total certeza que no se puedan recuperar. Las cuentas por cobrar se dan de baja cuando: </w:t>
      </w:r>
    </w:p>
    <w:p w14:paraId="5FDC20F2" w14:textId="77777777" w:rsidR="002B0141" w:rsidRDefault="002B0141" w:rsidP="00062D2C">
      <w:pPr>
        <w:spacing w:after="0" w:line="240" w:lineRule="auto"/>
        <w:jc w:val="both"/>
        <w:rPr>
          <w:rFonts w:ascii="Times New Roman" w:hAnsi="Times New Roman"/>
          <w:sz w:val="24"/>
          <w:szCs w:val="24"/>
        </w:rPr>
      </w:pPr>
    </w:p>
    <w:p w14:paraId="436DDBED" w14:textId="3D52A386" w:rsidR="00901A95"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 xml:space="preserve">1) la cuenta por cobrar lleve más de un año en cobranza judicial o </w:t>
      </w:r>
    </w:p>
    <w:p w14:paraId="53F59A82" w14:textId="30573B69" w:rsidR="00062D2C" w:rsidRPr="00062D2C"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2) los abogados señalen que se han agotado todos los medios de cobro.</w:t>
      </w:r>
    </w:p>
    <w:p w14:paraId="2D3AE306" w14:textId="288CF112" w:rsidR="006A10E8" w:rsidRDefault="006A10E8" w:rsidP="00062D2C">
      <w:pPr>
        <w:spacing w:after="0" w:line="240" w:lineRule="auto"/>
        <w:jc w:val="both"/>
        <w:rPr>
          <w:rFonts w:ascii="Times New Roman" w:hAnsi="Times New Roman"/>
          <w:sz w:val="24"/>
          <w:szCs w:val="24"/>
        </w:rPr>
      </w:pPr>
    </w:p>
    <w:p w14:paraId="66AF2BF3" w14:textId="7A8D877E" w:rsidR="00062D2C" w:rsidRPr="00062D2C" w:rsidRDefault="00062D2C" w:rsidP="00062D2C">
      <w:pPr>
        <w:spacing w:after="0" w:line="240" w:lineRule="auto"/>
        <w:jc w:val="both"/>
        <w:rPr>
          <w:rFonts w:ascii="Times New Roman" w:hAnsi="Times New Roman"/>
          <w:sz w:val="24"/>
          <w:szCs w:val="24"/>
        </w:rPr>
      </w:pPr>
      <w:r w:rsidRPr="00062D2C">
        <w:rPr>
          <w:rFonts w:ascii="Times New Roman" w:hAnsi="Times New Roman"/>
          <w:sz w:val="24"/>
          <w:szCs w:val="24"/>
        </w:rPr>
        <w:t>Sin embargo, cuando una cuenta por cobrar considerada como no recuperable y deteriorada, llega a ser recuperada, la entidad deberá reversar dicha transacción con un crédito al ingreso por reversión de las perdidas por deterioro de valor en Cuentas por Cobrar y un Débito a la Cuenta por Cobrar (Deterioro acumulado de cuentas por cobrar Cr) , para posteriormente legalizar el pago con un crédito a las Cuentas por Cobrar y un débito a la cuenta de Efectivo y Equivalentes al Efectivo que dé a lugar.</w:t>
      </w:r>
    </w:p>
    <w:p w14:paraId="1E4D0184" w14:textId="32E30062" w:rsidR="00244AF0" w:rsidRDefault="00244AF0" w:rsidP="00073315">
      <w:pPr>
        <w:pStyle w:val="Ttulo1"/>
      </w:pPr>
    </w:p>
    <w:p w14:paraId="49928EC3" w14:textId="167B9C8B" w:rsidR="00542A7F" w:rsidRDefault="00542A7F" w:rsidP="00542A7F"/>
    <w:p w14:paraId="1F3141D6" w14:textId="77777777" w:rsidR="00542A7F" w:rsidRPr="00542A7F" w:rsidRDefault="00542A7F" w:rsidP="00542A7F"/>
    <w:p w14:paraId="4D79298F" w14:textId="77777777" w:rsidR="00322E9E" w:rsidRDefault="00322E9E" w:rsidP="00542A7F">
      <w:pPr>
        <w:pStyle w:val="Ttulo1"/>
      </w:pPr>
      <w:bookmarkStart w:id="32" w:name="_Toc99455316"/>
    </w:p>
    <w:p w14:paraId="1BCF6428" w14:textId="360A8ABC" w:rsidR="00187C9F" w:rsidRPr="00E2373F" w:rsidRDefault="00187C9F" w:rsidP="00542A7F">
      <w:pPr>
        <w:pStyle w:val="Ttulo1"/>
      </w:pPr>
      <w:r w:rsidRPr="00E2373F">
        <w:t>NOTA 10. PROPIEDADES, PLANTA Y EQUIPO</w:t>
      </w:r>
      <w:bookmarkEnd w:id="32"/>
    </w:p>
    <w:p w14:paraId="7E4225EC" w14:textId="4C84BDE3" w:rsidR="00E12C9E" w:rsidRPr="00E2373F" w:rsidRDefault="00E12C9E" w:rsidP="00542A7F">
      <w:pPr>
        <w:spacing w:after="0" w:line="240" w:lineRule="auto"/>
        <w:jc w:val="both"/>
        <w:rPr>
          <w:rFonts w:ascii="Times New Roman" w:hAnsi="Times New Roman"/>
          <w:b/>
          <w:sz w:val="24"/>
          <w:szCs w:val="24"/>
        </w:rPr>
      </w:pPr>
    </w:p>
    <w:p w14:paraId="4AB5D54E" w14:textId="16C74DEA" w:rsidR="00E12C9E" w:rsidRPr="006209C2" w:rsidRDefault="00E12C9E" w:rsidP="00542A7F">
      <w:pPr>
        <w:pStyle w:val="Ttulo2"/>
        <w:numPr>
          <w:ilvl w:val="0"/>
          <w:numId w:val="0"/>
        </w:numPr>
        <w:spacing w:line="240" w:lineRule="auto"/>
        <w:rPr>
          <w:szCs w:val="22"/>
        </w:rPr>
      </w:pPr>
      <w:bookmarkStart w:id="33" w:name="_Toc99455317"/>
      <w:r w:rsidRPr="006209C2">
        <w:rPr>
          <w:szCs w:val="22"/>
        </w:rPr>
        <w:t>Composición</w:t>
      </w:r>
      <w:bookmarkEnd w:id="33"/>
    </w:p>
    <w:p w14:paraId="3CC4F3DE" w14:textId="449B2A9D" w:rsidR="00E12C9E" w:rsidRPr="00E2373F" w:rsidRDefault="00E12C9E" w:rsidP="00542A7F">
      <w:pPr>
        <w:spacing w:after="0" w:line="240" w:lineRule="auto"/>
        <w:jc w:val="both"/>
        <w:rPr>
          <w:rFonts w:ascii="Times New Roman" w:hAnsi="Times New Roman"/>
          <w:b/>
          <w:sz w:val="24"/>
          <w:szCs w:val="24"/>
        </w:rPr>
      </w:pPr>
    </w:p>
    <w:p w14:paraId="3D8C6786" w14:textId="7DFBDE21" w:rsidR="00E12C9E" w:rsidRDefault="00F20C77" w:rsidP="00542A7F">
      <w:pPr>
        <w:pStyle w:val="Prrafodelista"/>
        <w:spacing w:after="0" w:line="240" w:lineRule="auto"/>
        <w:ind w:left="0"/>
        <w:jc w:val="both"/>
        <w:rPr>
          <w:rFonts w:ascii="Times New Roman" w:hAnsi="Times New Roman"/>
          <w:sz w:val="24"/>
          <w:szCs w:val="24"/>
        </w:rPr>
      </w:pPr>
      <w:r w:rsidRPr="00F20C77">
        <w:rPr>
          <w:rFonts w:ascii="Times New Roman" w:hAnsi="Times New Roman"/>
          <w:sz w:val="24"/>
          <w:szCs w:val="24"/>
        </w:rPr>
        <w:t xml:space="preserve">La desagregación de las propiedades, planta y equipo presentadas en el estado de situación financiera individual al </w:t>
      </w:r>
      <w:r w:rsidR="00432519">
        <w:rPr>
          <w:rFonts w:ascii="Times New Roman" w:hAnsi="Times New Roman"/>
          <w:sz w:val="24"/>
          <w:szCs w:val="24"/>
        </w:rPr>
        <w:t>31 de marzo de 2022 y 31 de marzo de 2021</w:t>
      </w:r>
      <w:r w:rsidRPr="00F20C77">
        <w:rPr>
          <w:rFonts w:ascii="Times New Roman" w:hAnsi="Times New Roman"/>
          <w:sz w:val="24"/>
          <w:szCs w:val="24"/>
        </w:rPr>
        <w:t xml:space="preserve"> es la siguiente:</w:t>
      </w:r>
    </w:p>
    <w:p w14:paraId="5F409835" w14:textId="13C1EDE2" w:rsidR="0019140F" w:rsidRDefault="00542A7F" w:rsidP="00337A3A">
      <w:pPr>
        <w:pStyle w:val="Prrafodelista"/>
        <w:spacing w:after="0" w:line="240" w:lineRule="auto"/>
        <w:ind w:left="0"/>
        <w:jc w:val="both"/>
        <w:rPr>
          <w:rFonts w:ascii="Times New Roman" w:hAnsi="Times New Roman"/>
          <w:sz w:val="24"/>
          <w:szCs w:val="24"/>
        </w:rPr>
      </w:pPr>
      <w:r w:rsidRPr="00542A7F">
        <w:rPr>
          <w:noProof/>
        </w:rPr>
        <w:drawing>
          <wp:anchor distT="0" distB="0" distL="114300" distR="114300" simplePos="0" relativeHeight="252710912" behindDoc="1" locked="0" layoutInCell="1" allowOverlap="1" wp14:anchorId="05B819FB" wp14:editId="23BD73A7">
            <wp:simplePos x="0" y="0"/>
            <wp:positionH relativeFrom="column">
              <wp:posOffset>31750</wp:posOffset>
            </wp:positionH>
            <wp:positionV relativeFrom="paragraph">
              <wp:posOffset>167005</wp:posOffset>
            </wp:positionV>
            <wp:extent cx="5881370" cy="2782570"/>
            <wp:effectExtent l="0" t="0" r="508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1370" cy="2782570"/>
                    </a:xfrm>
                    <a:prstGeom prst="rect">
                      <a:avLst/>
                    </a:prstGeom>
                    <a:noFill/>
                    <a:ln>
                      <a:noFill/>
                    </a:ln>
                  </pic:spPr>
                </pic:pic>
              </a:graphicData>
            </a:graphic>
          </wp:anchor>
        </w:drawing>
      </w:r>
    </w:p>
    <w:p w14:paraId="6DF0F060" w14:textId="48ABE35A" w:rsidR="0019140F" w:rsidRDefault="0019140F" w:rsidP="00337A3A">
      <w:pPr>
        <w:pStyle w:val="Prrafodelista"/>
        <w:spacing w:after="0" w:line="240" w:lineRule="auto"/>
        <w:ind w:left="0"/>
        <w:jc w:val="both"/>
        <w:rPr>
          <w:rFonts w:ascii="Times New Roman" w:hAnsi="Times New Roman"/>
          <w:sz w:val="24"/>
          <w:szCs w:val="24"/>
        </w:rPr>
      </w:pPr>
    </w:p>
    <w:p w14:paraId="43E6C7EB" w14:textId="0FAF8E24" w:rsidR="0019140F" w:rsidRDefault="0019140F" w:rsidP="00337A3A">
      <w:pPr>
        <w:pStyle w:val="Prrafodelista"/>
        <w:spacing w:after="0" w:line="240" w:lineRule="auto"/>
        <w:ind w:left="0"/>
        <w:jc w:val="both"/>
        <w:rPr>
          <w:rFonts w:ascii="Times New Roman" w:hAnsi="Times New Roman"/>
          <w:sz w:val="24"/>
          <w:szCs w:val="24"/>
        </w:rPr>
      </w:pPr>
    </w:p>
    <w:p w14:paraId="67FEC68D" w14:textId="46F7EBC5" w:rsidR="002A02E2" w:rsidRDefault="002A02E2" w:rsidP="00337A3A">
      <w:pPr>
        <w:pStyle w:val="Prrafodelista"/>
        <w:spacing w:after="0" w:line="240" w:lineRule="auto"/>
        <w:ind w:left="0"/>
        <w:jc w:val="both"/>
        <w:rPr>
          <w:rFonts w:ascii="Times New Roman" w:hAnsi="Times New Roman"/>
          <w:sz w:val="24"/>
          <w:szCs w:val="24"/>
        </w:rPr>
      </w:pPr>
    </w:p>
    <w:p w14:paraId="590447D2" w14:textId="4F928A01" w:rsidR="002A02E2" w:rsidRDefault="002A02E2" w:rsidP="00337A3A">
      <w:pPr>
        <w:pStyle w:val="Prrafodelista"/>
        <w:spacing w:after="0" w:line="240" w:lineRule="auto"/>
        <w:ind w:left="0"/>
        <w:jc w:val="both"/>
        <w:rPr>
          <w:rFonts w:ascii="Times New Roman" w:hAnsi="Times New Roman"/>
          <w:sz w:val="24"/>
          <w:szCs w:val="24"/>
        </w:rPr>
      </w:pPr>
    </w:p>
    <w:p w14:paraId="1845DCD0" w14:textId="79BDAB27" w:rsidR="002A02E2" w:rsidRDefault="002A02E2" w:rsidP="00337A3A">
      <w:pPr>
        <w:pStyle w:val="Prrafodelista"/>
        <w:spacing w:after="0" w:line="240" w:lineRule="auto"/>
        <w:ind w:left="0"/>
        <w:jc w:val="both"/>
        <w:rPr>
          <w:rFonts w:ascii="Times New Roman" w:hAnsi="Times New Roman"/>
          <w:sz w:val="24"/>
          <w:szCs w:val="24"/>
        </w:rPr>
      </w:pPr>
    </w:p>
    <w:p w14:paraId="44C28045" w14:textId="3E195EB8" w:rsidR="002A02E2" w:rsidRDefault="002A02E2" w:rsidP="00337A3A">
      <w:pPr>
        <w:pStyle w:val="Prrafodelista"/>
        <w:spacing w:after="0" w:line="240" w:lineRule="auto"/>
        <w:ind w:left="0"/>
        <w:jc w:val="both"/>
        <w:rPr>
          <w:rFonts w:ascii="Times New Roman" w:hAnsi="Times New Roman"/>
          <w:sz w:val="24"/>
          <w:szCs w:val="24"/>
        </w:rPr>
      </w:pPr>
    </w:p>
    <w:p w14:paraId="7709DBEF" w14:textId="4E1D97DE" w:rsidR="002A02E2" w:rsidRDefault="002A02E2" w:rsidP="00337A3A">
      <w:pPr>
        <w:pStyle w:val="Prrafodelista"/>
        <w:spacing w:after="0" w:line="240" w:lineRule="auto"/>
        <w:ind w:left="0"/>
        <w:jc w:val="both"/>
        <w:rPr>
          <w:rFonts w:ascii="Times New Roman" w:hAnsi="Times New Roman"/>
          <w:sz w:val="24"/>
          <w:szCs w:val="24"/>
        </w:rPr>
      </w:pPr>
    </w:p>
    <w:p w14:paraId="5EABADBC" w14:textId="49C65B4C" w:rsidR="002A02E2" w:rsidRDefault="002A02E2" w:rsidP="00337A3A">
      <w:pPr>
        <w:pStyle w:val="Prrafodelista"/>
        <w:spacing w:after="0" w:line="240" w:lineRule="auto"/>
        <w:ind w:left="0"/>
        <w:jc w:val="both"/>
        <w:rPr>
          <w:rFonts w:ascii="Times New Roman" w:hAnsi="Times New Roman"/>
          <w:sz w:val="24"/>
          <w:szCs w:val="24"/>
        </w:rPr>
      </w:pPr>
    </w:p>
    <w:p w14:paraId="7E116D67" w14:textId="4B8E6BE5" w:rsidR="00EA0A4C" w:rsidRDefault="00EA0A4C" w:rsidP="00337A3A">
      <w:pPr>
        <w:pStyle w:val="Prrafodelista"/>
        <w:spacing w:after="0" w:line="240" w:lineRule="auto"/>
        <w:ind w:left="0"/>
        <w:jc w:val="both"/>
        <w:rPr>
          <w:rFonts w:ascii="Times New Roman" w:hAnsi="Times New Roman"/>
          <w:sz w:val="24"/>
          <w:szCs w:val="24"/>
        </w:rPr>
      </w:pPr>
    </w:p>
    <w:p w14:paraId="60CAB424" w14:textId="399D20FF" w:rsidR="00415949" w:rsidRDefault="00415949" w:rsidP="00337A3A">
      <w:pPr>
        <w:pStyle w:val="Prrafodelista"/>
        <w:spacing w:after="0" w:line="240" w:lineRule="auto"/>
        <w:ind w:left="0"/>
        <w:jc w:val="both"/>
        <w:rPr>
          <w:rFonts w:ascii="Times New Roman" w:hAnsi="Times New Roman"/>
          <w:sz w:val="24"/>
          <w:szCs w:val="24"/>
        </w:rPr>
      </w:pPr>
    </w:p>
    <w:p w14:paraId="1C936F0E" w14:textId="507CE9C3" w:rsidR="00415949" w:rsidRDefault="00415949" w:rsidP="00337A3A">
      <w:pPr>
        <w:pStyle w:val="Prrafodelista"/>
        <w:spacing w:after="0" w:line="240" w:lineRule="auto"/>
        <w:ind w:left="0"/>
        <w:jc w:val="both"/>
        <w:rPr>
          <w:rFonts w:ascii="Times New Roman" w:hAnsi="Times New Roman"/>
          <w:sz w:val="24"/>
          <w:szCs w:val="24"/>
        </w:rPr>
      </w:pPr>
    </w:p>
    <w:p w14:paraId="401FF3B4" w14:textId="1F6FE58F" w:rsidR="00415949" w:rsidRDefault="00415949" w:rsidP="00337A3A">
      <w:pPr>
        <w:pStyle w:val="Prrafodelista"/>
        <w:spacing w:after="0" w:line="240" w:lineRule="auto"/>
        <w:ind w:left="0"/>
        <w:jc w:val="both"/>
        <w:rPr>
          <w:rFonts w:ascii="Times New Roman" w:hAnsi="Times New Roman"/>
          <w:sz w:val="24"/>
          <w:szCs w:val="24"/>
        </w:rPr>
      </w:pPr>
    </w:p>
    <w:p w14:paraId="1CCF6CF4" w14:textId="263B4294" w:rsidR="00415949" w:rsidRDefault="00415949" w:rsidP="00337A3A">
      <w:pPr>
        <w:pStyle w:val="Prrafodelista"/>
        <w:spacing w:after="0" w:line="240" w:lineRule="auto"/>
        <w:ind w:left="0"/>
        <w:jc w:val="both"/>
        <w:rPr>
          <w:rFonts w:ascii="Times New Roman" w:hAnsi="Times New Roman"/>
          <w:sz w:val="24"/>
          <w:szCs w:val="24"/>
        </w:rPr>
      </w:pPr>
    </w:p>
    <w:p w14:paraId="2AD8EA29" w14:textId="07B69D58" w:rsidR="005F292C" w:rsidRDefault="005F292C" w:rsidP="00337A3A">
      <w:pPr>
        <w:pStyle w:val="Prrafodelista"/>
        <w:spacing w:after="0" w:line="240" w:lineRule="auto"/>
        <w:ind w:left="0"/>
        <w:jc w:val="both"/>
        <w:rPr>
          <w:rFonts w:ascii="Times New Roman" w:hAnsi="Times New Roman"/>
          <w:sz w:val="24"/>
          <w:szCs w:val="24"/>
        </w:rPr>
      </w:pPr>
    </w:p>
    <w:p w14:paraId="675DB355" w14:textId="705E8ED2" w:rsidR="005F292C" w:rsidRDefault="005F292C" w:rsidP="00337A3A">
      <w:pPr>
        <w:pStyle w:val="Prrafodelista"/>
        <w:spacing w:after="0" w:line="240" w:lineRule="auto"/>
        <w:ind w:left="0"/>
        <w:jc w:val="both"/>
        <w:rPr>
          <w:rFonts w:ascii="Times New Roman" w:hAnsi="Times New Roman"/>
          <w:sz w:val="24"/>
          <w:szCs w:val="24"/>
        </w:rPr>
      </w:pPr>
    </w:p>
    <w:p w14:paraId="239B6011" w14:textId="16C57036" w:rsidR="005F292C" w:rsidRDefault="005F292C" w:rsidP="00337A3A">
      <w:pPr>
        <w:pStyle w:val="Prrafodelista"/>
        <w:spacing w:after="0" w:line="240" w:lineRule="auto"/>
        <w:ind w:left="0"/>
        <w:jc w:val="both"/>
        <w:rPr>
          <w:rFonts w:ascii="Times New Roman" w:hAnsi="Times New Roman"/>
          <w:sz w:val="24"/>
          <w:szCs w:val="24"/>
        </w:rPr>
      </w:pPr>
    </w:p>
    <w:p w14:paraId="0299A549" w14:textId="2F6E7E8A" w:rsidR="005F292C" w:rsidRDefault="00322E9E" w:rsidP="00337A3A">
      <w:pPr>
        <w:pStyle w:val="Prrafodelista"/>
        <w:spacing w:after="0" w:line="240" w:lineRule="auto"/>
        <w:ind w:left="0"/>
        <w:jc w:val="both"/>
        <w:rPr>
          <w:rFonts w:ascii="Times New Roman" w:hAnsi="Times New Roman"/>
          <w:sz w:val="24"/>
          <w:szCs w:val="24"/>
        </w:rPr>
      </w:pPr>
      <w:r w:rsidRPr="00542A7F">
        <w:rPr>
          <w:noProof/>
        </w:rPr>
        <w:drawing>
          <wp:anchor distT="0" distB="0" distL="114300" distR="114300" simplePos="0" relativeHeight="252711936" behindDoc="1" locked="0" layoutInCell="1" allowOverlap="1" wp14:anchorId="11A83F50" wp14:editId="23172C96">
            <wp:simplePos x="0" y="0"/>
            <wp:positionH relativeFrom="column">
              <wp:posOffset>31750</wp:posOffset>
            </wp:positionH>
            <wp:positionV relativeFrom="paragraph">
              <wp:posOffset>92710</wp:posOffset>
            </wp:positionV>
            <wp:extent cx="5881370" cy="2621280"/>
            <wp:effectExtent l="0" t="0" r="5080" b="762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1370" cy="2621280"/>
                    </a:xfrm>
                    <a:prstGeom prst="rect">
                      <a:avLst/>
                    </a:prstGeom>
                    <a:noFill/>
                    <a:ln>
                      <a:noFill/>
                    </a:ln>
                  </pic:spPr>
                </pic:pic>
              </a:graphicData>
            </a:graphic>
          </wp:anchor>
        </w:drawing>
      </w:r>
    </w:p>
    <w:p w14:paraId="09ED46A0" w14:textId="7BD7938B" w:rsidR="005F292C" w:rsidRDefault="005F292C" w:rsidP="00337A3A">
      <w:pPr>
        <w:pStyle w:val="Prrafodelista"/>
        <w:spacing w:after="0" w:line="240" w:lineRule="auto"/>
        <w:ind w:left="0"/>
        <w:jc w:val="both"/>
        <w:rPr>
          <w:rFonts w:ascii="Times New Roman" w:hAnsi="Times New Roman"/>
          <w:sz w:val="24"/>
          <w:szCs w:val="24"/>
        </w:rPr>
      </w:pPr>
    </w:p>
    <w:p w14:paraId="0E2A1E58" w14:textId="10D54BA3" w:rsidR="008B6CA7" w:rsidRDefault="008B6CA7" w:rsidP="00337A3A">
      <w:pPr>
        <w:pStyle w:val="Prrafodelista"/>
        <w:spacing w:after="0" w:line="240" w:lineRule="auto"/>
        <w:ind w:left="0"/>
        <w:jc w:val="both"/>
        <w:rPr>
          <w:rFonts w:ascii="Times New Roman" w:hAnsi="Times New Roman"/>
          <w:sz w:val="24"/>
          <w:szCs w:val="24"/>
        </w:rPr>
      </w:pPr>
    </w:p>
    <w:p w14:paraId="6E8A909E" w14:textId="74AB518D" w:rsidR="008B6CA7" w:rsidRDefault="008B6CA7" w:rsidP="00337A3A">
      <w:pPr>
        <w:pStyle w:val="Prrafodelista"/>
        <w:spacing w:after="0" w:line="240" w:lineRule="auto"/>
        <w:ind w:left="0"/>
        <w:jc w:val="both"/>
        <w:rPr>
          <w:rFonts w:ascii="Times New Roman" w:hAnsi="Times New Roman"/>
          <w:sz w:val="24"/>
          <w:szCs w:val="24"/>
        </w:rPr>
      </w:pPr>
    </w:p>
    <w:p w14:paraId="7020300A" w14:textId="7B73C4C5" w:rsidR="008B6CA7" w:rsidRDefault="008B6CA7" w:rsidP="00337A3A">
      <w:pPr>
        <w:pStyle w:val="Prrafodelista"/>
        <w:spacing w:after="0" w:line="240" w:lineRule="auto"/>
        <w:ind w:left="0"/>
        <w:jc w:val="both"/>
        <w:rPr>
          <w:rFonts w:ascii="Times New Roman" w:hAnsi="Times New Roman"/>
          <w:sz w:val="24"/>
          <w:szCs w:val="24"/>
        </w:rPr>
      </w:pPr>
    </w:p>
    <w:p w14:paraId="2E3B0D87" w14:textId="20D3A331" w:rsidR="008B6CA7" w:rsidRDefault="008B6CA7" w:rsidP="00337A3A">
      <w:pPr>
        <w:pStyle w:val="Prrafodelista"/>
        <w:spacing w:after="0" w:line="240" w:lineRule="auto"/>
        <w:ind w:left="0"/>
        <w:jc w:val="both"/>
        <w:rPr>
          <w:rFonts w:ascii="Times New Roman" w:hAnsi="Times New Roman"/>
          <w:sz w:val="24"/>
          <w:szCs w:val="24"/>
        </w:rPr>
      </w:pPr>
    </w:p>
    <w:p w14:paraId="7729C862" w14:textId="7CFE016E" w:rsidR="008B6CA7" w:rsidRDefault="008B6CA7" w:rsidP="00337A3A">
      <w:pPr>
        <w:pStyle w:val="Prrafodelista"/>
        <w:spacing w:after="0" w:line="240" w:lineRule="auto"/>
        <w:ind w:left="0"/>
        <w:jc w:val="both"/>
        <w:rPr>
          <w:rFonts w:ascii="Times New Roman" w:hAnsi="Times New Roman"/>
          <w:sz w:val="24"/>
          <w:szCs w:val="24"/>
        </w:rPr>
      </w:pPr>
    </w:p>
    <w:p w14:paraId="2EBEC1A0" w14:textId="33A72A67" w:rsidR="008B6CA7" w:rsidRDefault="008B6CA7" w:rsidP="00337A3A">
      <w:pPr>
        <w:pStyle w:val="Prrafodelista"/>
        <w:spacing w:after="0" w:line="240" w:lineRule="auto"/>
        <w:ind w:left="0"/>
        <w:jc w:val="both"/>
        <w:rPr>
          <w:rFonts w:ascii="Times New Roman" w:hAnsi="Times New Roman"/>
          <w:sz w:val="24"/>
          <w:szCs w:val="24"/>
        </w:rPr>
      </w:pPr>
    </w:p>
    <w:p w14:paraId="72754FF3" w14:textId="5566651C" w:rsidR="008B6CA7" w:rsidRDefault="008B6CA7" w:rsidP="00337A3A">
      <w:pPr>
        <w:pStyle w:val="Prrafodelista"/>
        <w:spacing w:after="0" w:line="240" w:lineRule="auto"/>
        <w:ind w:left="0"/>
        <w:jc w:val="both"/>
        <w:rPr>
          <w:rFonts w:ascii="Times New Roman" w:hAnsi="Times New Roman"/>
          <w:sz w:val="24"/>
          <w:szCs w:val="24"/>
        </w:rPr>
      </w:pPr>
    </w:p>
    <w:p w14:paraId="3862D5B7" w14:textId="6D3935FC" w:rsidR="008B6CA7" w:rsidRDefault="008B6CA7" w:rsidP="00337A3A">
      <w:pPr>
        <w:pStyle w:val="Prrafodelista"/>
        <w:spacing w:after="0" w:line="240" w:lineRule="auto"/>
        <w:ind w:left="0"/>
        <w:jc w:val="both"/>
        <w:rPr>
          <w:rFonts w:ascii="Times New Roman" w:hAnsi="Times New Roman"/>
          <w:sz w:val="24"/>
          <w:szCs w:val="24"/>
        </w:rPr>
      </w:pPr>
    </w:p>
    <w:p w14:paraId="096BF152" w14:textId="4609E406" w:rsidR="002D0D14" w:rsidRDefault="002D0D14" w:rsidP="00337A3A">
      <w:pPr>
        <w:pStyle w:val="Prrafodelista"/>
        <w:spacing w:after="0" w:line="240" w:lineRule="auto"/>
        <w:ind w:left="0"/>
        <w:jc w:val="both"/>
        <w:rPr>
          <w:rFonts w:ascii="Times New Roman" w:hAnsi="Times New Roman"/>
          <w:sz w:val="24"/>
          <w:szCs w:val="24"/>
        </w:rPr>
      </w:pPr>
    </w:p>
    <w:p w14:paraId="0EDEDEF2" w14:textId="3E40FD14" w:rsidR="002D0D14" w:rsidRDefault="002D0D14" w:rsidP="00337A3A">
      <w:pPr>
        <w:pStyle w:val="Prrafodelista"/>
        <w:spacing w:after="0" w:line="240" w:lineRule="auto"/>
        <w:ind w:left="0"/>
        <w:jc w:val="both"/>
        <w:rPr>
          <w:rFonts w:ascii="Times New Roman" w:hAnsi="Times New Roman"/>
          <w:sz w:val="24"/>
          <w:szCs w:val="24"/>
        </w:rPr>
      </w:pPr>
    </w:p>
    <w:p w14:paraId="1A529DCD" w14:textId="05E5F483" w:rsidR="005F292C" w:rsidRDefault="005F292C" w:rsidP="00337A3A">
      <w:pPr>
        <w:pStyle w:val="Prrafodelista"/>
        <w:spacing w:after="0" w:line="240" w:lineRule="auto"/>
        <w:ind w:left="0"/>
        <w:jc w:val="both"/>
        <w:rPr>
          <w:rFonts w:ascii="Times New Roman" w:hAnsi="Times New Roman"/>
          <w:sz w:val="24"/>
          <w:szCs w:val="24"/>
        </w:rPr>
      </w:pPr>
    </w:p>
    <w:p w14:paraId="4D061E57" w14:textId="7F7E4EDD" w:rsidR="00EF630C" w:rsidRDefault="00EF630C" w:rsidP="00337A3A">
      <w:pPr>
        <w:pStyle w:val="Prrafodelista"/>
        <w:spacing w:after="0" w:line="240" w:lineRule="auto"/>
        <w:ind w:left="0"/>
        <w:jc w:val="both"/>
        <w:rPr>
          <w:rFonts w:ascii="Times New Roman" w:hAnsi="Times New Roman"/>
          <w:sz w:val="24"/>
          <w:szCs w:val="24"/>
        </w:rPr>
      </w:pPr>
    </w:p>
    <w:p w14:paraId="2CBD59FB" w14:textId="49BDC43D" w:rsidR="00EF630C" w:rsidRDefault="00EF630C" w:rsidP="00337A3A">
      <w:pPr>
        <w:pStyle w:val="Prrafodelista"/>
        <w:spacing w:after="0" w:line="240" w:lineRule="auto"/>
        <w:ind w:left="0"/>
        <w:jc w:val="both"/>
        <w:rPr>
          <w:rFonts w:ascii="Times New Roman" w:hAnsi="Times New Roman"/>
          <w:sz w:val="24"/>
          <w:szCs w:val="24"/>
        </w:rPr>
      </w:pPr>
    </w:p>
    <w:p w14:paraId="4C27D6F4" w14:textId="5730DCB5" w:rsidR="00EF630C" w:rsidRDefault="00EF630C" w:rsidP="00337A3A">
      <w:pPr>
        <w:pStyle w:val="Prrafodelista"/>
        <w:spacing w:after="0" w:line="240" w:lineRule="auto"/>
        <w:ind w:left="0"/>
        <w:jc w:val="both"/>
        <w:rPr>
          <w:rFonts w:ascii="Times New Roman" w:hAnsi="Times New Roman"/>
          <w:sz w:val="24"/>
          <w:szCs w:val="24"/>
        </w:rPr>
      </w:pPr>
    </w:p>
    <w:p w14:paraId="335B2298" w14:textId="088FE5BF" w:rsidR="00EF630C" w:rsidRDefault="00322E9E" w:rsidP="00337A3A">
      <w:pPr>
        <w:pStyle w:val="Prrafodelista"/>
        <w:spacing w:after="0" w:line="240" w:lineRule="auto"/>
        <w:ind w:left="0"/>
        <w:jc w:val="both"/>
        <w:rPr>
          <w:rFonts w:ascii="Times New Roman" w:hAnsi="Times New Roman"/>
          <w:sz w:val="24"/>
          <w:szCs w:val="24"/>
        </w:rPr>
      </w:pPr>
      <w:r w:rsidRPr="00322E9E">
        <w:rPr>
          <w:noProof/>
        </w:rPr>
        <w:drawing>
          <wp:anchor distT="0" distB="0" distL="114300" distR="114300" simplePos="0" relativeHeight="252712960" behindDoc="1" locked="0" layoutInCell="1" allowOverlap="1" wp14:anchorId="39DAFCEA" wp14:editId="4AEF18DA">
            <wp:simplePos x="0" y="0"/>
            <wp:positionH relativeFrom="column">
              <wp:posOffset>31750</wp:posOffset>
            </wp:positionH>
            <wp:positionV relativeFrom="paragraph">
              <wp:posOffset>22860</wp:posOffset>
            </wp:positionV>
            <wp:extent cx="5881370" cy="756920"/>
            <wp:effectExtent l="0" t="0" r="5080" b="508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1370" cy="756920"/>
                    </a:xfrm>
                    <a:prstGeom prst="rect">
                      <a:avLst/>
                    </a:prstGeom>
                    <a:noFill/>
                    <a:ln>
                      <a:noFill/>
                    </a:ln>
                  </pic:spPr>
                </pic:pic>
              </a:graphicData>
            </a:graphic>
          </wp:anchor>
        </w:drawing>
      </w:r>
    </w:p>
    <w:p w14:paraId="56BDBE9E" w14:textId="4E08E884" w:rsidR="00542A7F" w:rsidRDefault="00542A7F" w:rsidP="00337A3A">
      <w:pPr>
        <w:pStyle w:val="Prrafodelista"/>
        <w:spacing w:after="0" w:line="240" w:lineRule="auto"/>
        <w:ind w:left="0"/>
        <w:jc w:val="both"/>
        <w:rPr>
          <w:rFonts w:ascii="Times New Roman" w:hAnsi="Times New Roman"/>
          <w:sz w:val="24"/>
          <w:szCs w:val="24"/>
        </w:rPr>
      </w:pPr>
    </w:p>
    <w:p w14:paraId="46CCFCF9" w14:textId="4111C150" w:rsidR="00542A7F" w:rsidRDefault="00542A7F" w:rsidP="00337A3A">
      <w:pPr>
        <w:pStyle w:val="Prrafodelista"/>
        <w:spacing w:after="0" w:line="240" w:lineRule="auto"/>
        <w:ind w:left="0"/>
        <w:jc w:val="both"/>
        <w:rPr>
          <w:rFonts w:ascii="Times New Roman" w:hAnsi="Times New Roman"/>
          <w:sz w:val="24"/>
          <w:szCs w:val="24"/>
        </w:rPr>
      </w:pPr>
    </w:p>
    <w:p w14:paraId="6131E045" w14:textId="77777777" w:rsidR="00542A7F" w:rsidRDefault="00542A7F" w:rsidP="00337A3A">
      <w:pPr>
        <w:pStyle w:val="Prrafodelista"/>
        <w:spacing w:after="0" w:line="240" w:lineRule="auto"/>
        <w:ind w:left="0"/>
        <w:jc w:val="both"/>
        <w:rPr>
          <w:rFonts w:ascii="Times New Roman" w:hAnsi="Times New Roman"/>
          <w:sz w:val="24"/>
          <w:szCs w:val="24"/>
        </w:rPr>
      </w:pPr>
    </w:p>
    <w:p w14:paraId="2A42DF52" w14:textId="77777777" w:rsidR="00322E9E" w:rsidRDefault="00322E9E" w:rsidP="00337A3A">
      <w:pPr>
        <w:pStyle w:val="Prrafodelista"/>
        <w:spacing w:after="0" w:line="240" w:lineRule="auto"/>
        <w:ind w:left="0"/>
        <w:jc w:val="both"/>
        <w:rPr>
          <w:rFonts w:ascii="Times New Roman" w:hAnsi="Times New Roman"/>
          <w:sz w:val="24"/>
          <w:szCs w:val="24"/>
        </w:rPr>
      </w:pPr>
    </w:p>
    <w:p w14:paraId="17F99593" w14:textId="77777777" w:rsidR="00322E9E" w:rsidRDefault="00322E9E" w:rsidP="00337A3A">
      <w:pPr>
        <w:pStyle w:val="Prrafodelista"/>
        <w:spacing w:after="0" w:line="240" w:lineRule="auto"/>
        <w:ind w:left="0"/>
        <w:jc w:val="both"/>
        <w:rPr>
          <w:rFonts w:ascii="Times New Roman" w:hAnsi="Times New Roman"/>
          <w:sz w:val="24"/>
          <w:szCs w:val="24"/>
        </w:rPr>
      </w:pPr>
    </w:p>
    <w:p w14:paraId="57A4D881" w14:textId="56012BBE" w:rsidR="00337A3A" w:rsidRP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lastRenderedPageBreak/>
        <w:t xml:space="preserve">Al </w:t>
      </w:r>
      <w:r w:rsidR="00542A7F">
        <w:rPr>
          <w:rFonts w:ascii="Times New Roman" w:hAnsi="Times New Roman"/>
          <w:sz w:val="24"/>
          <w:szCs w:val="24"/>
        </w:rPr>
        <w:t xml:space="preserve">31 </w:t>
      </w:r>
      <w:r w:rsidR="00432519">
        <w:rPr>
          <w:rFonts w:ascii="Times New Roman" w:hAnsi="Times New Roman"/>
          <w:sz w:val="24"/>
          <w:szCs w:val="24"/>
        </w:rPr>
        <w:t>marzo 2022</w:t>
      </w:r>
      <w:r w:rsidRPr="00337A3A">
        <w:rPr>
          <w:rFonts w:ascii="Times New Roman" w:hAnsi="Times New Roman"/>
          <w:sz w:val="24"/>
          <w:szCs w:val="24"/>
        </w:rPr>
        <w:t xml:space="preserve"> la Entidad:</w:t>
      </w:r>
    </w:p>
    <w:p w14:paraId="6A12AABF" w14:textId="3F8CE8DC" w:rsidR="00337A3A" w:rsidRPr="00337A3A" w:rsidRDefault="00337A3A" w:rsidP="00337A3A">
      <w:pPr>
        <w:pStyle w:val="Prrafodelista"/>
        <w:spacing w:after="0" w:line="240" w:lineRule="auto"/>
        <w:ind w:left="0"/>
        <w:jc w:val="both"/>
        <w:rPr>
          <w:rFonts w:ascii="Times New Roman" w:hAnsi="Times New Roman"/>
          <w:sz w:val="24"/>
          <w:szCs w:val="24"/>
        </w:rPr>
      </w:pPr>
    </w:p>
    <w:p w14:paraId="692D5214" w14:textId="70CE0D65" w:rsid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Utilizó el método de línea recta para el cálculo de la depreciación de todos los elementos de propiedad, planta y equipo.</w:t>
      </w:r>
    </w:p>
    <w:p w14:paraId="38FDFC9A" w14:textId="13611FBF" w:rsidR="00244AF0"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No se posee propiedades, planta y equipo en proceso de construcción</w:t>
      </w:r>
      <w:r w:rsidR="00244AF0">
        <w:rPr>
          <w:rFonts w:ascii="Times New Roman" w:hAnsi="Times New Roman"/>
          <w:sz w:val="24"/>
          <w:szCs w:val="24"/>
        </w:rPr>
        <w:t>.</w:t>
      </w:r>
    </w:p>
    <w:p w14:paraId="3A42A885" w14:textId="77777777" w:rsidR="00407D75" w:rsidRDefault="00407D75" w:rsidP="00337A3A">
      <w:pPr>
        <w:pStyle w:val="Prrafodelista"/>
        <w:spacing w:after="0" w:line="240" w:lineRule="auto"/>
        <w:ind w:left="0"/>
        <w:jc w:val="both"/>
        <w:rPr>
          <w:rFonts w:ascii="Times New Roman" w:hAnsi="Times New Roman"/>
          <w:sz w:val="24"/>
          <w:szCs w:val="24"/>
        </w:rPr>
      </w:pPr>
    </w:p>
    <w:p w14:paraId="033C0812" w14:textId="0461E2B3" w:rsid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No presenta cambios en la distribución de la depreciación entre costos y gastos.</w:t>
      </w:r>
    </w:p>
    <w:p w14:paraId="7ADD952D" w14:textId="77777777" w:rsidR="00407D75" w:rsidRDefault="00407D75" w:rsidP="00337A3A">
      <w:pPr>
        <w:pStyle w:val="Prrafodelista"/>
        <w:spacing w:after="0" w:line="240" w:lineRule="auto"/>
        <w:ind w:left="0"/>
        <w:jc w:val="both"/>
        <w:rPr>
          <w:rFonts w:ascii="Times New Roman" w:hAnsi="Times New Roman"/>
          <w:sz w:val="24"/>
          <w:szCs w:val="24"/>
        </w:rPr>
      </w:pPr>
    </w:p>
    <w:p w14:paraId="310E4194" w14:textId="7292C9D6" w:rsid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 xml:space="preserve">Al </w:t>
      </w:r>
      <w:r w:rsidR="00E66458">
        <w:rPr>
          <w:rFonts w:ascii="Times New Roman" w:hAnsi="Times New Roman"/>
          <w:sz w:val="24"/>
          <w:szCs w:val="24"/>
        </w:rPr>
        <w:t>31 marzo de 2022</w:t>
      </w:r>
      <w:r w:rsidRPr="00337A3A">
        <w:rPr>
          <w:rFonts w:ascii="Times New Roman" w:hAnsi="Times New Roman"/>
          <w:sz w:val="24"/>
          <w:szCs w:val="24"/>
        </w:rPr>
        <w:t xml:space="preserve"> la entidad no posee obligación legal o contractual de desmantelar, retirar o rehabilitar sitios donde desarrolla sus operaciones, razón por la cual sus activos no incorporan costos asociados a dichos requerimientos.</w:t>
      </w:r>
    </w:p>
    <w:p w14:paraId="21511176" w14:textId="67692EBE" w:rsidR="00407D75" w:rsidRDefault="00407D75" w:rsidP="00337A3A">
      <w:pPr>
        <w:pStyle w:val="Prrafodelista"/>
        <w:spacing w:after="0" w:line="240" w:lineRule="auto"/>
        <w:ind w:left="0"/>
        <w:jc w:val="both"/>
        <w:rPr>
          <w:rFonts w:ascii="Times New Roman" w:hAnsi="Times New Roman"/>
          <w:sz w:val="24"/>
          <w:szCs w:val="24"/>
        </w:rPr>
      </w:pPr>
    </w:p>
    <w:p w14:paraId="0AF69699" w14:textId="01292C12" w:rsid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 xml:space="preserve">La entidad tiene contratadas pólizas de seguros para cubrir los riesgos a que están sujetos los bienes muebles, vehículos, equipos y maquinaria y equipo. </w:t>
      </w:r>
    </w:p>
    <w:p w14:paraId="2D274380" w14:textId="0BB8B63E" w:rsidR="00407D75" w:rsidRDefault="00407D75" w:rsidP="00337A3A">
      <w:pPr>
        <w:pStyle w:val="Prrafodelista"/>
        <w:spacing w:after="0" w:line="240" w:lineRule="auto"/>
        <w:ind w:left="0"/>
        <w:jc w:val="both"/>
        <w:rPr>
          <w:rFonts w:ascii="Times New Roman" w:hAnsi="Times New Roman"/>
          <w:sz w:val="24"/>
          <w:szCs w:val="24"/>
        </w:rPr>
      </w:pPr>
    </w:p>
    <w:p w14:paraId="30FC2F2B" w14:textId="6090D574" w:rsidR="00337A3A" w:rsidRPr="00337A3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w:t>
      </w:r>
      <w:r>
        <w:rPr>
          <w:rFonts w:ascii="Times New Roman" w:hAnsi="Times New Roman"/>
          <w:sz w:val="24"/>
          <w:szCs w:val="24"/>
        </w:rPr>
        <w:t xml:space="preserve"> </w:t>
      </w:r>
      <w:r w:rsidRPr="00337A3A">
        <w:rPr>
          <w:rFonts w:ascii="Times New Roman" w:hAnsi="Times New Roman"/>
          <w:sz w:val="24"/>
          <w:szCs w:val="24"/>
        </w:rPr>
        <w:t xml:space="preserve">La entidad considera que la cobertura de estas pólizas es adecuada para los riesgos inherentes a su actividad. </w:t>
      </w:r>
    </w:p>
    <w:p w14:paraId="55AA5851" w14:textId="535B9D24" w:rsidR="00337A3A" w:rsidRPr="00337A3A" w:rsidRDefault="00337A3A" w:rsidP="00337A3A">
      <w:pPr>
        <w:pStyle w:val="Prrafodelista"/>
        <w:spacing w:after="0" w:line="240" w:lineRule="auto"/>
        <w:jc w:val="center"/>
        <w:rPr>
          <w:rFonts w:ascii="Times New Roman" w:hAnsi="Times New Roman"/>
          <w:sz w:val="24"/>
          <w:szCs w:val="24"/>
        </w:rPr>
      </w:pPr>
    </w:p>
    <w:p w14:paraId="1279E281" w14:textId="1E02BC6F" w:rsidR="0088226A" w:rsidRDefault="00337A3A" w:rsidP="00337A3A">
      <w:pPr>
        <w:pStyle w:val="Prrafodelista"/>
        <w:spacing w:after="0" w:line="240" w:lineRule="auto"/>
        <w:ind w:left="0"/>
        <w:jc w:val="both"/>
        <w:rPr>
          <w:rFonts w:ascii="Times New Roman" w:hAnsi="Times New Roman"/>
          <w:sz w:val="24"/>
          <w:szCs w:val="24"/>
        </w:rPr>
      </w:pPr>
      <w:r w:rsidRPr="00337A3A">
        <w:rPr>
          <w:rFonts w:ascii="Times New Roman" w:hAnsi="Times New Roman"/>
          <w:sz w:val="24"/>
          <w:szCs w:val="24"/>
        </w:rPr>
        <w:t xml:space="preserve">Al </w:t>
      </w:r>
      <w:r w:rsidR="00322E9E">
        <w:rPr>
          <w:rFonts w:ascii="Times New Roman" w:hAnsi="Times New Roman"/>
          <w:sz w:val="24"/>
          <w:szCs w:val="24"/>
        </w:rPr>
        <w:t>31</w:t>
      </w:r>
      <w:r w:rsidR="007831C9">
        <w:rPr>
          <w:rFonts w:ascii="Times New Roman" w:hAnsi="Times New Roman"/>
          <w:sz w:val="24"/>
          <w:szCs w:val="24"/>
        </w:rPr>
        <w:t xml:space="preserve"> </w:t>
      </w:r>
      <w:r w:rsidR="00432519">
        <w:rPr>
          <w:rFonts w:ascii="Times New Roman" w:hAnsi="Times New Roman"/>
          <w:sz w:val="24"/>
          <w:szCs w:val="24"/>
        </w:rPr>
        <w:t>marzo 2022</w:t>
      </w:r>
      <w:r w:rsidRPr="00337A3A">
        <w:rPr>
          <w:rFonts w:ascii="Times New Roman" w:hAnsi="Times New Roman"/>
          <w:sz w:val="24"/>
          <w:szCs w:val="24"/>
        </w:rPr>
        <w:t>, la entidad presenta bienes inmuebles dados en comodato al ICETEX,</w:t>
      </w:r>
      <w:r>
        <w:rPr>
          <w:rFonts w:ascii="Times New Roman" w:hAnsi="Times New Roman"/>
          <w:sz w:val="24"/>
          <w:szCs w:val="24"/>
        </w:rPr>
        <w:t xml:space="preserve"> </w:t>
      </w:r>
      <w:r w:rsidRPr="00337A3A">
        <w:rPr>
          <w:rFonts w:ascii="Times New Roman" w:hAnsi="Times New Roman"/>
          <w:sz w:val="24"/>
          <w:szCs w:val="24"/>
        </w:rPr>
        <w:t>que corresponden a las oficinas 1700 y 1800 Edificio Ángel y los locales 1 y 2 ubicados en la carrera 3 no. 17-23 y 17-31 respectivamente, el plazo pactado entre las partes es por tres años,</w:t>
      </w:r>
      <w:r>
        <w:rPr>
          <w:rFonts w:ascii="Times New Roman" w:hAnsi="Times New Roman"/>
          <w:sz w:val="24"/>
          <w:szCs w:val="24"/>
        </w:rPr>
        <w:t xml:space="preserve"> </w:t>
      </w:r>
      <w:r w:rsidRPr="00337A3A">
        <w:rPr>
          <w:rFonts w:ascii="Times New Roman" w:hAnsi="Times New Roman"/>
          <w:sz w:val="24"/>
          <w:szCs w:val="24"/>
        </w:rPr>
        <w:t>una vez finalizado dicho plazo, estos bienes deberán ser restituidos al Instituto.</w:t>
      </w:r>
    </w:p>
    <w:p w14:paraId="1F6ED55F" w14:textId="31058A03" w:rsidR="00407D75" w:rsidRDefault="00407D75" w:rsidP="00337A3A">
      <w:pPr>
        <w:pStyle w:val="Prrafodelista"/>
        <w:spacing w:after="0" w:line="240" w:lineRule="auto"/>
        <w:ind w:left="0"/>
        <w:jc w:val="both"/>
        <w:rPr>
          <w:rFonts w:ascii="Times New Roman" w:hAnsi="Times New Roman"/>
          <w:sz w:val="24"/>
          <w:szCs w:val="24"/>
        </w:rPr>
      </w:pPr>
    </w:p>
    <w:p w14:paraId="6A04BE44" w14:textId="2DF2726B" w:rsidR="00E12C9E" w:rsidRDefault="000B2FBE" w:rsidP="00425DA9">
      <w:pPr>
        <w:pStyle w:val="Ttulo2"/>
        <w:numPr>
          <w:ilvl w:val="1"/>
          <w:numId w:val="10"/>
        </w:numPr>
        <w:ind w:left="567" w:hanging="567"/>
        <w:rPr>
          <w:szCs w:val="22"/>
        </w:rPr>
      </w:pPr>
      <w:bookmarkStart w:id="34" w:name="_Toc99455318"/>
      <w:r w:rsidRPr="006209C2">
        <w:rPr>
          <w:szCs w:val="22"/>
        </w:rPr>
        <w:t xml:space="preserve">Detalle saldos y movimientos </w:t>
      </w:r>
      <w:r w:rsidR="00983E40" w:rsidRPr="006209C2">
        <w:rPr>
          <w:szCs w:val="22"/>
        </w:rPr>
        <w:t xml:space="preserve">PPE </w:t>
      </w:r>
      <w:r w:rsidR="006A10E8">
        <w:rPr>
          <w:szCs w:val="22"/>
        </w:rPr>
        <w:t>–</w:t>
      </w:r>
      <w:r w:rsidR="00983E40" w:rsidRPr="006209C2">
        <w:rPr>
          <w:szCs w:val="22"/>
        </w:rPr>
        <w:t xml:space="preserve"> Muebles</w:t>
      </w:r>
      <w:bookmarkEnd w:id="34"/>
    </w:p>
    <w:p w14:paraId="49D0F82F" w14:textId="74BC47B7" w:rsidR="00407D75" w:rsidRDefault="00322E9E" w:rsidP="00407D75">
      <w:pPr>
        <w:rPr>
          <w:noProof/>
        </w:rPr>
      </w:pPr>
      <w:r w:rsidRPr="00322E9E">
        <w:rPr>
          <w:noProof/>
        </w:rPr>
        <w:drawing>
          <wp:anchor distT="0" distB="0" distL="114300" distR="114300" simplePos="0" relativeHeight="252713984" behindDoc="1" locked="0" layoutInCell="1" allowOverlap="1" wp14:anchorId="1B8C143F" wp14:editId="6130E594">
            <wp:simplePos x="0" y="0"/>
            <wp:positionH relativeFrom="column">
              <wp:posOffset>-44450</wp:posOffset>
            </wp:positionH>
            <wp:positionV relativeFrom="paragraph">
              <wp:posOffset>70485</wp:posOffset>
            </wp:positionV>
            <wp:extent cx="5881370" cy="3124200"/>
            <wp:effectExtent l="0" t="0" r="508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1370" cy="3124200"/>
                    </a:xfrm>
                    <a:prstGeom prst="rect">
                      <a:avLst/>
                    </a:prstGeom>
                    <a:noFill/>
                    <a:ln>
                      <a:noFill/>
                    </a:ln>
                  </pic:spPr>
                </pic:pic>
              </a:graphicData>
            </a:graphic>
          </wp:anchor>
        </w:drawing>
      </w:r>
    </w:p>
    <w:p w14:paraId="082DEC37" w14:textId="11FE54D4" w:rsidR="001C786C" w:rsidRDefault="001C786C" w:rsidP="00407D75"/>
    <w:p w14:paraId="716234BB" w14:textId="4F715C8E" w:rsidR="00407D75" w:rsidRPr="00407D75" w:rsidRDefault="00407D75" w:rsidP="00407D75"/>
    <w:p w14:paraId="1495733D" w14:textId="0B69BB90" w:rsidR="006A10E8" w:rsidRDefault="006A10E8" w:rsidP="006A10E8">
      <w:pPr>
        <w:rPr>
          <w:noProof/>
        </w:rPr>
      </w:pPr>
    </w:p>
    <w:p w14:paraId="65864D59" w14:textId="7DCF9971" w:rsidR="00F24191" w:rsidRPr="006A10E8" w:rsidRDefault="00F24191" w:rsidP="006A10E8"/>
    <w:p w14:paraId="5304279F" w14:textId="0E07FFCE" w:rsidR="00E12C9E" w:rsidRPr="00E2373F" w:rsidRDefault="00E12C9E" w:rsidP="00667BC9">
      <w:pPr>
        <w:spacing w:after="0" w:line="240" w:lineRule="auto"/>
        <w:ind w:left="720"/>
        <w:jc w:val="both"/>
        <w:rPr>
          <w:rFonts w:ascii="Times New Roman" w:hAnsi="Times New Roman"/>
          <w:sz w:val="24"/>
          <w:szCs w:val="24"/>
        </w:rPr>
      </w:pPr>
    </w:p>
    <w:p w14:paraId="08BA88CE" w14:textId="6165EA06" w:rsidR="00BB7AD8" w:rsidRPr="00E2373F" w:rsidRDefault="00BB7AD8" w:rsidP="00667BC9">
      <w:pPr>
        <w:spacing w:after="0" w:line="240" w:lineRule="auto"/>
        <w:jc w:val="center"/>
        <w:rPr>
          <w:rFonts w:ascii="Times New Roman" w:hAnsi="Times New Roman"/>
          <w:sz w:val="24"/>
          <w:szCs w:val="24"/>
        </w:rPr>
      </w:pPr>
    </w:p>
    <w:p w14:paraId="3EC57C55" w14:textId="56FC4388" w:rsidR="00BB7AD8" w:rsidRPr="00E2373F" w:rsidRDefault="00BB7AD8" w:rsidP="00667BC9">
      <w:pPr>
        <w:spacing w:after="0" w:line="240" w:lineRule="auto"/>
        <w:jc w:val="center"/>
        <w:rPr>
          <w:rFonts w:ascii="Times New Roman" w:hAnsi="Times New Roman"/>
          <w:sz w:val="24"/>
          <w:szCs w:val="24"/>
        </w:rPr>
      </w:pPr>
    </w:p>
    <w:p w14:paraId="5E0EA5A4" w14:textId="75858A7A" w:rsidR="00C66F3F" w:rsidRDefault="00C66F3F" w:rsidP="00667BC9">
      <w:pPr>
        <w:spacing w:after="0" w:line="240" w:lineRule="auto"/>
        <w:jc w:val="both"/>
        <w:rPr>
          <w:rFonts w:ascii="Times New Roman" w:hAnsi="Times New Roman"/>
          <w:sz w:val="24"/>
          <w:szCs w:val="24"/>
        </w:rPr>
      </w:pPr>
    </w:p>
    <w:p w14:paraId="4D16BF4E" w14:textId="2AFB5B76" w:rsidR="00C66F3F" w:rsidRDefault="00C66F3F" w:rsidP="00667BC9">
      <w:pPr>
        <w:spacing w:after="0" w:line="240" w:lineRule="auto"/>
        <w:jc w:val="both"/>
        <w:rPr>
          <w:rFonts w:ascii="Times New Roman" w:hAnsi="Times New Roman"/>
          <w:sz w:val="24"/>
          <w:szCs w:val="24"/>
        </w:rPr>
      </w:pPr>
    </w:p>
    <w:p w14:paraId="6C8C0FAB" w14:textId="4B95FDCF" w:rsidR="00C66F3F" w:rsidRDefault="00C66F3F" w:rsidP="00667BC9">
      <w:pPr>
        <w:spacing w:after="0" w:line="240" w:lineRule="auto"/>
        <w:jc w:val="both"/>
        <w:rPr>
          <w:rFonts w:ascii="Times New Roman" w:hAnsi="Times New Roman"/>
          <w:sz w:val="24"/>
          <w:szCs w:val="24"/>
        </w:rPr>
      </w:pPr>
    </w:p>
    <w:p w14:paraId="05902D0B" w14:textId="61763001" w:rsidR="00C66F3F" w:rsidRDefault="00C66F3F" w:rsidP="00667BC9">
      <w:pPr>
        <w:spacing w:after="0" w:line="240" w:lineRule="auto"/>
        <w:jc w:val="both"/>
        <w:rPr>
          <w:rFonts w:ascii="Times New Roman" w:hAnsi="Times New Roman"/>
          <w:sz w:val="24"/>
          <w:szCs w:val="24"/>
        </w:rPr>
      </w:pPr>
    </w:p>
    <w:p w14:paraId="70B5D79F" w14:textId="0E36254A" w:rsidR="00C66F3F" w:rsidRDefault="00C66F3F" w:rsidP="00667BC9">
      <w:pPr>
        <w:spacing w:after="0" w:line="240" w:lineRule="auto"/>
        <w:jc w:val="both"/>
        <w:rPr>
          <w:rFonts w:ascii="Times New Roman" w:hAnsi="Times New Roman"/>
          <w:sz w:val="24"/>
          <w:szCs w:val="24"/>
        </w:rPr>
      </w:pPr>
    </w:p>
    <w:p w14:paraId="4E4139C9" w14:textId="3BCF949E" w:rsidR="00F4759D" w:rsidRDefault="00F4759D" w:rsidP="00667BC9">
      <w:pPr>
        <w:spacing w:after="0" w:line="240" w:lineRule="auto"/>
        <w:jc w:val="both"/>
        <w:rPr>
          <w:rFonts w:ascii="Times New Roman" w:hAnsi="Times New Roman"/>
          <w:sz w:val="24"/>
          <w:szCs w:val="24"/>
        </w:rPr>
      </w:pPr>
    </w:p>
    <w:p w14:paraId="70C61E21" w14:textId="639366CA" w:rsidR="00F4759D" w:rsidRDefault="00F4759D" w:rsidP="00667BC9">
      <w:pPr>
        <w:spacing w:after="0" w:line="240" w:lineRule="auto"/>
        <w:jc w:val="both"/>
        <w:rPr>
          <w:rFonts w:ascii="Times New Roman" w:hAnsi="Times New Roman"/>
          <w:sz w:val="24"/>
          <w:szCs w:val="24"/>
        </w:rPr>
      </w:pPr>
    </w:p>
    <w:p w14:paraId="59B46A8D" w14:textId="3C3C35EE" w:rsidR="00F4759D" w:rsidRDefault="00F4759D" w:rsidP="00667BC9">
      <w:pPr>
        <w:spacing w:after="0" w:line="240" w:lineRule="auto"/>
        <w:jc w:val="both"/>
        <w:rPr>
          <w:rFonts w:ascii="Times New Roman" w:hAnsi="Times New Roman"/>
          <w:sz w:val="24"/>
          <w:szCs w:val="24"/>
        </w:rPr>
      </w:pPr>
    </w:p>
    <w:p w14:paraId="6CEDC346" w14:textId="78695022" w:rsidR="00322E9E" w:rsidRDefault="00322E9E" w:rsidP="00667BC9">
      <w:pPr>
        <w:spacing w:after="0" w:line="240" w:lineRule="auto"/>
        <w:jc w:val="both"/>
        <w:rPr>
          <w:rFonts w:ascii="Times New Roman" w:hAnsi="Times New Roman"/>
          <w:sz w:val="24"/>
          <w:szCs w:val="24"/>
        </w:rPr>
      </w:pPr>
    </w:p>
    <w:p w14:paraId="7B34245B" w14:textId="77777777" w:rsidR="00322E9E" w:rsidRDefault="00322E9E" w:rsidP="00667BC9">
      <w:pPr>
        <w:spacing w:after="0" w:line="240" w:lineRule="auto"/>
        <w:jc w:val="both"/>
        <w:rPr>
          <w:rFonts w:ascii="Times New Roman" w:hAnsi="Times New Roman"/>
          <w:sz w:val="24"/>
          <w:szCs w:val="24"/>
        </w:rPr>
      </w:pPr>
    </w:p>
    <w:p w14:paraId="61B0DAD4" w14:textId="6A07E815" w:rsidR="00983E40" w:rsidRDefault="000B2FBE" w:rsidP="00425DA9">
      <w:pPr>
        <w:pStyle w:val="Ttulo2"/>
        <w:numPr>
          <w:ilvl w:val="1"/>
          <w:numId w:val="10"/>
        </w:numPr>
        <w:ind w:left="567" w:hanging="567"/>
        <w:rPr>
          <w:szCs w:val="22"/>
        </w:rPr>
      </w:pPr>
      <w:bookmarkStart w:id="35" w:name="_Toc99455319"/>
      <w:r w:rsidRPr="006209C2">
        <w:rPr>
          <w:szCs w:val="22"/>
        </w:rPr>
        <w:lastRenderedPageBreak/>
        <w:t xml:space="preserve">Detalle saldos y movimientos </w:t>
      </w:r>
      <w:r w:rsidR="00983E40" w:rsidRPr="006209C2">
        <w:rPr>
          <w:szCs w:val="22"/>
        </w:rPr>
        <w:t xml:space="preserve">PPE </w:t>
      </w:r>
      <w:r w:rsidR="006A10E8">
        <w:rPr>
          <w:szCs w:val="22"/>
        </w:rPr>
        <w:t>–</w:t>
      </w:r>
      <w:r w:rsidR="00983E40" w:rsidRPr="006209C2">
        <w:rPr>
          <w:szCs w:val="22"/>
        </w:rPr>
        <w:t xml:space="preserve"> Inmuebles</w:t>
      </w:r>
      <w:bookmarkEnd w:id="35"/>
    </w:p>
    <w:p w14:paraId="4FBF20CA" w14:textId="03BBAC6C" w:rsidR="00C34BE0" w:rsidRDefault="00322E9E" w:rsidP="00EA3A5E">
      <w:pPr>
        <w:tabs>
          <w:tab w:val="left" w:pos="585"/>
        </w:tabs>
        <w:suppressAutoHyphens/>
        <w:spacing w:after="0" w:line="240" w:lineRule="auto"/>
        <w:ind w:right="565"/>
        <w:jc w:val="both"/>
        <w:rPr>
          <w:rFonts w:ascii="Times New Roman" w:hAnsi="Times New Roman"/>
          <w:b/>
          <w:bCs/>
          <w:sz w:val="24"/>
          <w:szCs w:val="24"/>
          <w:lang w:eastAsia="x-none"/>
        </w:rPr>
      </w:pPr>
      <w:r w:rsidRPr="00322E9E">
        <w:rPr>
          <w:noProof/>
        </w:rPr>
        <w:drawing>
          <wp:anchor distT="0" distB="0" distL="114300" distR="114300" simplePos="0" relativeHeight="252715008" behindDoc="1" locked="0" layoutInCell="1" allowOverlap="1" wp14:anchorId="21B0B878" wp14:editId="22503E33">
            <wp:simplePos x="0" y="0"/>
            <wp:positionH relativeFrom="column">
              <wp:posOffset>0</wp:posOffset>
            </wp:positionH>
            <wp:positionV relativeFrom="paragraph">
              <wp:posOffset>7620</wp:posOffset>
            </wp:positionV>
            <wp:extent cx="5881370" cy="3087370"/>
            <wp:effectExtent l="0" t="0" r="508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1370" cy="3087370"/>
                    </a:xfrm>
                    <a:prstGeom prst="rect">
                      <a:avLst/>
                    </a:prstGeom>
                    <a:noFill/>
                    <a:ln>
                      <a:noFill/>
                    </a:ln>
                  </pic:spPr>
                </pic:pic>
              </a:graphicData>
            </a:graphic>
          </wp:anchor>
        </w:drawing>
      </w:r>
    </w:p>
    <w:p w14:paraId="7B6538B5" w14:textId="00264F50"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51720C49" w14:textId="4C9ED0C3"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15A397C4"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2871D692"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10F00DA5"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3D643AA6"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0A0EB74E"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602B8329"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23A987B1"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30667B28" w14:textId="77777777" w:rsidR="00C34BE0" w:rsidRDefault="00C34BE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0FDD8EE3" w14:textId="77777777" w:rsidR="00634D85" w:rsidRDefault="00634D85" w:rsidP="00EA3A5E">
      <w:pPr>
        <w:tabs>
          <w:tab w:val="left" w:pos="585"/>
        </w:tabs>
        <w:suppressAutoHyphens/>
        <w:spacing w:after="0" w:line="240" w:lineRule="auto"/>
        <w:ind w:right="565"/>
        <w:jc w:val="both"/>
        <w:rPr>
          <w:rFonts w:ascii="Times New Roman" w:hAnsi="Times New Roman"/>
          <w:b/>
          <w:bCs/>
          <w:sz w:val="24"/>
          <w:szCs w:val="24"/>
          <w:lang w:eastAsia="x-none"/>
        </w:rPr>
      </w:pPr>
    </w:p>
    <w:p w14:paraId="7840E740" w14:textId="77777777" w:rsidR="00244AF0" w:rsidRDefault="00244AF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79F5BCA1" w14:textId="77777777" w:rsidR="00244AF0" w:rsidRDefault="00244AF0" w:rsidP="00EA3A5E">
      <w:pPr>
        <w:tabs>
          <w:tab w:val="left" w:pos="585"/>
        </w:tabs>
        <w:suppressAutoHyphens/>
        <w:spacing w:after="0" w:line="240" w:lineRule="auto"/>
        <w:ind w:right="565"/>
        <w:jc w:val="both"/>
        <w:rPr>
          <w:rFonts w:ascii="Times New Roman" w:hAnsi="Times New Roman"/>
          <w:b/>
          <w:bCs/>
          <w:sz w:val="24"/>
          <w:szCs w:val="24"/>
          <w:lang w:eastAsia="x-none"/>
        </w:rPr>
      </w:pPr>
    </w:p>
    <w:p w14:paraId="2A79C294" w14:textId="77777777" w:rsidR="00F4759D" w:rsidRDefault="00F4759D" w:rsidP="00EA3A5E">
      <w:pPr>
        <w:tabs>
          <w:tab w:val="left" w:pos="585"/>
        </w:tabs>
        <w:suppressAutoHyphens/>
        <w:spacing w:after="0" w:line="240" w:lineRule="auto"/>
        <w:ind w:right="565"/>
        <w:jc w:val="both"/>
        <w:rPr>
          <w:rFonts w:ascii="Times New Roman" w:hAnsi="Times New Roman"/>
          <w:b/>
          <w:bCs/>
          <w:sz w:val="24"/>
          <w:szCs w:val="24"/>
          <w:lang w:eastAsia="x-none"/>
        </w:rPr>
      </w:pPr>
    </w:p>
    <w:p w14:paraId="24F771C7" w14:textId="77777777" w:rsidR="00F4759D" w:rsidRDefault="00F4759D" w:rsidP="00EA3A5E">
      <w:pPr>
        <w:tabs>
          <w:tab w:val="left" w:pos="585"/>
        </w:tabs>
        <w:suppressAutoHyphens/>
        <w:spacing w:after="0" w:line="240" w:lineRule="auto"/>
        <w:ind w:right="565"/>
        <w:jc w:val="both"/>
        <w:rPr>
          <w:rFonts w:ascii="Times New Roman" w:hAnsi="Times New Roman"/>
          <w:b/>
          <w:bCs/>
          <w:sz w:val="24"/>
          <w:szCs w:val="24"/>
          <w:lang w:eastAsia="x-none"/>
        </w:rPr>
      </w:pPr>
    </w:p>
    <w:p w14:paraId="141EBED1" w14:textId="77777777" w:rsidR="00F4759D" w:rsidRDefault="00F4759D" w:rsidP="00EA3A5E">
      <w:pPr>
        <w:tabs>
          <w:tab w:val="left" w:pos="585"/>
        </w:tabs>
        <w:suppressAutoHyphens/>
        <w:spacing w:after="0" w:line="240" w:lineRule="auto"/>
        <w:ind w:right="565"/>
        <w:jc w:val="both"/>
        <w:rPr>
          <w:rFonts w:ascii="Times New Roman" w:hAnsi="Times New Roman"/>
          <w:b/>
          <w:bCs/>
          <w:sz w:val="24"/>
          <w:szCs w:val="24"/>
          <w:lang w:eastAsia="x-none"/>
        </w:rPr>
      </w:pPr>
    </w:p>
    <w:p w14:paraId="10D58348" w14:textId="77777777" w:rsidR="00322E9E" w:rsidRDefault="00322E9E" w:rsidP="00EA3A5E">
      <w:pPr>
        <w:tabs>
          <w:tab w:val="left" w:pos="585"/>
        </w:tabs>
        <w:suppressAutoHyphens/>
        <w:spacing w:after="0" w:line="240" w:lineRule="auto"/>
        <w:ind w:right="565"/>
        <w:jc w:val="both"/>
        <w:rPr>
          <w:rFonts w:ascii="Times New Roman" w:hAnsi="Times New Roman"/>
          <w:b/>
          <w:bCs/>
          <w:sz w:val="24"/>
          <w:szCs w:val="24"/>
          <w:lang w:eastAsia="x-none"/>
        </w:rPr>
      </w:pPr>
    </w:p>
    <w:p w14:paraId="6983153C" w14:textId="6A1A135B" w:rsidR="00EA3A5E" w:rsidRPr="00EA3A5E" w:rsidRDefault="00EA3A5E" w:rsidP="00322E9E">
      <w:pPr>
        <w:tabs>
          <w:tab w:val="left" w:pos="585"/>
        </w:tabs>
        <w:suppressAutoHyphens/>
        <w:spacing w:after="0" w:line="240" w:lineRule="auto"/>
        <w:jc w:val="both"/>
        <w:rPr>
          <w:rFonts w:ascii="Times New Roman" w:hAnsi="Times New Roman"/>
          <w:b/>
          <w:bCs/>
          <w:sz w:val="24"/>
          <w:szCs w:val="24"/>
          <w:lang w:eastAsia="x-none"/>
        </w:rPr>
      </w:pPr>
      <w:r w:rsidRPr="00EA3A5E">
        <w:rPr>
          <w:rFonts w:ascii="Times New Roman" w:hAnsi="Times New Roman"/>
          <w:b/>
          <w:bCs/>
          <w:sz w:val="24"/>
          <w:szCs w:val="24"/>
          <w:lang w:eastAsia="x-none"/>
        </w:rPr>
        <w:t xml:space="preserve">Deterioro del valor de las propiedades, planta y equipo </w:t>
      </w:r>
    </w:p>
    <w:p w14:paraId="680B153D" w14:textId="77777777" w:rsidR="00322E9E" w:rsidRDefault="00322E9E" w:rsidP="00322E9E">
      <w:pPr>
        <w:pStyle w:val="Default"/>
        <w:suppressAutoHyphens/>
        <w:ind w:left="0" w:right="0" w:firstLine="0"/>
        <w:rPr>
          <w:rFonts w:eastAsia="Calibri"/>
          <w:bCs/>
        </w:rPr>
      </w:pPr>
    </w:p>
    <w:p w14:paraId="7F1F1530" w14:textId="7B6EE318" w:rsidR="00EA3A5E" w:rsidRPr="00C63D02" w:rsidRDefault="00EA3A5E" w:rsidP="00322E9E">
      <w:pPr>
        <w:pStyle w:val="Default"/>
        <w:suppressAutoHyphens/>
        <w:ind w:left="0" w:right="0" w:firstLine="0"/>
        <w:rPr>
          <w:rFonts w:eastAsia="Calibri"/>
          <w:bCs/>
        </w:rPr>
      </w:pPr>
      <w:r w:rsidRPr="00C63D02">
        <w:rPr>
          <w:rFonts w:eastAsia="Calibri"/>
          <w:bCs/>
        </w:rPr>
        <w:t xml:space="preserve">En el periodo contable que finalizó el 31 de diciembre de 2018, se identificaron evidencias de deterioro del valor de las propiedades, planta y equipo, específicamente en el edificio ubicado en la Calle 17 No. 3 - 40, que conllevaron a la estimación del valor recuperable de dicho activo. </w:t>
      </w:r>
    </w:p>
    <w:p w14:paraId="667CBC4F" w14:textId="77777777" w:rsidR="00EA3A5E" w:rsidRPr="00C63D02" w:rsidRDefault="00EA3A5E" w:rsidP="0003358F">
      <w:pPr>
        <w:pStyle w:val="Default"/>
        <w:suppressAutoHyphens/>
        <w:ind w:left="0" w:firstLine="0"/>
        <w:rPr>
          <w:rFonts w:eastAsia="Calibri"/>
          <w:bCs/>
        </w:rPr>
      </w:pPr>
    </w:p>
    <w:p w14:paraId="5A5115DD" w14:textId="77777777" w:rsidR="00EA3A5E" w:rsidRPr="00C63D02" w:rsidRDefault="00EA3A5E" w:rsidP="001E7042">
      <w:pPr>
        <w:pStyle w:val="Default"/>
        <w:suppressAutoHyphens/>
        <w:ind w:left="0" w:right="49" w:firstLine="0"/>
        <w:rPr>
          <w:rFonts w:eastAsia="Calibri"/>
          <w:bCs/>
        </w:rPr>
      </w:pPr>
      <w:r w:rsidRPr="00C63D02">
        <w:rPr>
          <w:rFonts w:eastAsia="Calibri"/>
          <w:bCs/>
        </w:rPr>
        <w:t xml:space="preserve">Teniendo en cuenta el valor recuperable de la construcción en el mercado versus su valor en libros, se determina que existe un deterioro por valor de $110.266.254 en pesos colombianos.  </w:t>
      </w:r>
    </w:p>
    <w:p w14:paraId="73C0A017" w14:textId="77777777" w:rsidR="00EA3A5E" w:rsidRPr="00C63D02" w:rsidRDefault="00EA3A5E" w:rsidP="0003358F">
      <w:pPr>
        <w:pStyle w:val="Default"/>
        <w:suppressAutoHyphens/>
        <w:ind w:left="0" w:firstLine="0"/>
        <w:rPr>
          <w:rFonts w:eastAsia="Calibri"/>
          <w:bCs/>
        </w:rPr>
      </w:pPr>
    </w:p>
    <w:p w14:paraId="578DDEE8" w14:textId="77777777" w:rsidR="00EA3A5E" w:rsidRPr="00C63D02" w:rsidRDefault="00EA3A5E" w:rsidP="0003358F">
      <w:pPr>
        <w:pStyle w:val="Default"/>
        <w:suppressAutoHyphens/>
        <w:ind w:left="0" w:firstLine="0"/>
        <w:rPr>
          <w:rFonts w:eastAsia="Calibri"/>
          <w:bCs/>
        </w:rPr>
      </w:pPr>
      <w:r w:rsidRPr="00C63D02">
        <w:rPr>
          <w:rFonts w:eastAsia="Calibri"/>
          <w:bCs/>
        </w:rPr>
        <w:t>Los indicios de deterioro que se evidenciaron corresponden a:</w:t>
      </w:r>
    </w:p>
    <w:p w14:paraId="78AD3BF3" w14:textId="77777777" w:rsidR="00EA3A5E" w:rsidRPr="00C63D02" w:rsidRDefault="00EA3A5E" w:rsidP="00EA3A5E">
      <w:pPr>
        <w:pStyle w:val="Default"/>
        <w:suppressAutoHyphens/>
        <w:ind w:left="567" w:firstLine="0"/>
        <w:rPr>
          <w:rFonts w:eastAsia="Calibri"/>
          <w:b/>
          <w:bCs/>
        </w:rPr>
      </w:pPr>
    </w:p>
    <w:p w14:paraId="28E1D908" w14:textId="77777777" w:rsidR="00EA3A5E" w:rsidRPr="00C63D02" w:rsidRDefault="00EA3A5E" w:rsidP="00EA3A5E">
      <w:pPr>
        <w:pStyle w:val="Default"/>
        <w:suppressAutoHyphens/>
        <w:ind w:left="567" w:firstLine="0"/>
        <w:rPr>
          <w:rFonts w:eastAsia="Calibri"/>
          <w:b/>
          <w:bCs/>
        </w:rPr>
      </w:pPr>
      <w:r w:rsidRPr="00C63D02">
        <w:rPr>
          <w:rFonts w:eastAsia="Calibri"/>
          <w:b/>
          <w:bCs/>
        </w:rPr>
        <w:t>Fuentes externas de información:</w:t>
      </w:r>
    </w:p>
    <w:p w14:paraId="7B4FD634" w14:textId="77777777" w:rsidR="00EA3A5E" w:rsidRPr="00C63D02" w:rsidRDefault="00EA3A5E" w:rsidP="00EA3A5E">
      <w:pPr>
        <w:pStyle w:val="Default"/>
        <w:suppressAutoHyphens/>
        <w:ind w:left="567" w:firstLine="0"/>
        <w:rPr>
          <w:rFonts w:eastAsia="Calibri"/>
          <w:bCs/>
        </w:rPr>
      </w:pPr>
    </w:p>
    <w:p w14:paraId="40D981FA" w14:textId="1CEEFC9A" w:rsidR="00EA3A5E" w:rsidRDefault="00EA3A5E" w:rsidP="00425DA9">
      <w:pPr>
        <w:pStyle w:val="Default"/>
        <w:numPr>
          <w:ilvl w:val="0"/>
          <w:numId w:val="27"/>
        </w:numPr>
        <w:suppressAutoHyphens/>
        <w:ind w:right="49"/>
        <w:rPr>
          <w:rFonts w:eastAsia="Calibri"/>
          <w:bCs/>
        </w:rPr>
      </w:pPr>
      <w:r w:rsidRPr="00C63D02">
        <w:rPr>
          <w:rFonts w:eastAsia="Calibri"/>
          <w:bCs/>
        </w:rPr>
        <w:t>Durante el periodo, el valor de mercado del activo ha disminuido significativamente más que lo que se esperaría como consecuencia del paso del tiempo o de su uso normal.</w:t>
      </w:r>
    </w:p>
    <w:p w14:paraId="2F9E9D1B" w14:textId="77777777" w:rsidR="00EA3A5E" w:rsidRPr="00C63D02" w:rsidRDefault="00EA3A5E" w:rsidP="00425DA9">
      <w:pPr>
        <w:pStyle w:val="Default"/>
        <w:numPr>
          <w:ilvl w:val="0"/>
          <w:numId w:val="27"/>
        </w:numPr>
        <w:suppressAutoHyphens/>
        <w:ind w:right="49"/>
        <w:rPr>
          <w:rFonts w:eastAsia="Calibri"/>
          <w:bCs/>
        </w:rPr>
      </w:pPr>
      <w:r w:rsidRPr="00C63D02">
        <w:rPr>
          <w:rFonts w:eastAsia="Calibri"/>
          <w:bCs/>
        </w:rPr>
        <w:t>Durante el periodo, han tenido lugar, o van a tener lugar en un futuro inmediato, cambios significativos con una incidencia adversa sobre la empresa, los cuales están relacionados con el mercado al que está destinado el activo o, con el entorno legal, económico, tecnológico o de mercado en el que opera la empresa.</w:t>
      </w:r>
    </w:p>
    <w:p w14:paraId="3DE5AA74" w14:textId="77777777" w:rsidR="00FB46ED" w:rsidRDefault="00FB46ED" w:rsidP="00EA3A5E">
      <w:pPr>
        <w:pStyle w:val="Default"/>
        <w:suppressAutoHyphens/>
        <w:ind w:left="567" w:firstLine="0"/>
        <w:rPr>
          <w:rFonts w:eastAsia="Calibri"/>
          <w:b/>
          <w:bCs/>
        </w:rPr>
      </w:pPr>
    </w:p>
    <w:p w14:paraId="116BB6FB" w14:textId="1DC907F1" w:rsidR="00EA3A5E" w:rsidRPr="00C63D02" w:rsidRDefault="00EA3A5E" w:rsidP="00EA3A5E">
      <w:pPr>
        <w:pStyle w:val="Default"/>
        <w:suppressAutoHyphens/>
        <w:ind w:left="567" w:firstLine="0"/>
        <w:rPr>
          <w:rFonts w:eastAsia="Calibri"/>
          <w:bCs/>
        </w:rPr>
      </w:pPr>
      <w:r w:rsidRPr="00C63D02">
        <w:rPr>
          <w:rFonts w:eastAsia="Calibri"/>
          <w:b/>
          <w:bCs/>
        </w:rPr>
        <w:t>Fuentes internas de información</w:t>
      </w:r>
    </w:p>
    <w:p w14:paraId="6C57800A" w14:textId="77777777" w:rsidR="00EA3A5E" w:rsidRPr="00C63D02" w:rsidRDefault="00EA3A5E" w:rsidP="00EA3A5E">
      <w:pPr>
        <w:pStyle w:val="Default"/>
        <w:suppressAutoHyphens/>
        <w:ind w:left="567" w:firstLine="0"/>
        <w:rPr>
          <w:rFonts w:eastAsia="Calibri"/>
          <w:bCs/>
        </w:rPr>
      </w:pPr>
    </w:p>
    <w:p w14:paraId="73D7FD0F" w14:textId="77777777" w:rsidR="00EA3A5E" w:rsidRPr="00C63D02" w:rsidRDefault="00EA3A5E" w:rsidP="00425DA9">
      <w:pPr>
        <w:pStyle w:val="Default"/>
        <w:numPr>
          <w:ilvl w:val="0"/>
          <w:numId w:val="27"/>
        </w:numPr>
        <w:suppressAutoHyphens/>
        <w:ind w:right="49"/>
        <w:rPr>
          <w:rFonts w:eastAsia="Calibri"/>
          <w:bCs/>
        </w:rPr>
      </w:pPr>
      <w:r w:rsidRPr="00C63D02">
        <w:rPr>
          <w:rFonts w:eastAsia="Calibri"/>
          <w:bCs/>
        </w:rPr>
        <w:t>Se dispone de evidencia sobre la obsolescencia o deterioro físico del activo.</w:t>
      </w:r>
    </w:p>
    <w:p w14:paraId="1D35EF18" w14:textId="77777777" w:rsidR="00154A76" w:rsidRDefault="00154A76" w:rsidP="00154A76">
      <w:pPr>
        <w:pStyle w:val="Default"/>
        <w:suppressAutoHyphens/>
        <w:ind w:left="1287" w:right="49" w:firstLine="0"/>
        <w:rPr>
          <w:rFonts w:eastAsia="Calibri"/>
          <w:bCs/>
        </w:rPr>
      </w:pPr>
    </w:p>
    <w:p w14:paraId="60CFDBC2" w14:textId="3681ECDE" w:rsidR="00EA3A5E" w:rsidRDefault="00EA3A5E" w:rsidP="00425DA9">
      <w:pPr>
        <w:pStyle w:val="Default"/>
        <w:numPr>
          <w:ilvl w:val="0"/>
          <w:numId w:val="27"/>
        </w:numPr>
        <w:suppressAutoHyphens/>
        <w:ind w:right="49"/>
        <w:rPr>
          <w:rFonts w:eastAsia="Calibri"/>
          <w:bCs/>
        </w:rPr>
      </w:pPr>
      <w:r w:rsidRPr="00C63D02">
        <w:rPr>
          <w:rFonts w:eastAsia="Calibri"/>
          <w:bCs/>
        </w:rPr>
        <w:t xml:space="preserve">Durante el periodo, han tenido lugar, o se espera que tengan lugar en un futuro inmediato, cambios significativos en la manera como se usa o se espera usar el activo, los cuales afectarán desfavorablemente el beneficio económico que el activo </w:t>
      </w:r>
      <w:r w:rsidRPr="00C63D02">
        <w:rPr>
          <w:rFonts w:eastAsia="Calibri"/>
          <w:bCs/>
        </w:rPr>
        <w:lastRenderedPageBreak/>
        <w:t>le genera a la empresa. Estos cambios incluyen el hecho de que el activo esté ocioso, los planes de discontinuación o restructuración de la operación a la que pertenece el activo, los planes para disponer el activo antes de la fecha prevista y la reconsideración de la vida útil de un activo ya no como indefinida sino como finita.</w:t>
      </w:r>
    </w:p>
    <w:p w14:paraId="5B364BA7" w14:textId="77777777" w:rsidR="00322E9E" w:rsidRDefault="00322E9E" w:rsidP="00322E9E">
      <w:pPr>
        <w:pStyle w:val="Default"/>
        <w:suppressAutoHyphens/>
        <w:ind w:left="1287" w:right="49" w:firstLine="0"/>
        <w:rPr>
          <w:rFonts w:eastAsia="Calibri"/>
          <w:bCs/>
        </w:rPr>
      </w:pPr>
    </w:p>
    <w:p w14:paraId="10FB300E" w14:textId="4D013217" w:rsidR="00EA3A5E" w:rsidRDefault="00EA3A5E" w:rsidP="00425DA9">
      <w:pPr>
        <w:pStyle w:val="Default"/>
        <w:numPr>
          <w:ilvl w:val="0"/>
          <w:numId w:val="27"/>
        </w:numPr>
        <w:suppressAutoHyphens/>
        <w:ind w:right="49"/>
        <w:rPr>
          <w:rFonts w:eastAsia="Calibri"/>
          <w:bCs/>
        </w:rPr>
      </w:pPr>
      <w:r w:rsidRPr="00C63D02">
        <w:rPr>
          <w:rFonts w:eastAsia="Calibri"/>
          <w:bCs/>
        </w:rPr>
        <w:t>Se decide detener la construcción del activo antes de su finalización o de su puesta en condiciones de funcionamiento.</w:t>
      </w:r>
    </w:p>
    <w:p w14:paraId="3EFCF958" w14:textId="77777777" w:rsidR="00322E9E" w:rsidRDefault="00322E9E" w:rsidP="00322E9E">
      <w:pPr>
        <w:pStyle w:val="Default"/>
        <w:suppressAutoHyphens/>
        <w:ind w:left="1287" w:right="49" w:firstLine="0"/>
        <w:rPr>
          <w:rFonts w:eastAsia="Calibri"/>
          <w:bCs/>
        </w:rPr>
      </w:pPr>
    </w:p>
    <w:p w14:paraId="3B647B9D" w14:textId="79E41B6C" w:rsidR="00EA3A5E" w:rsidRPr="00C63D02" w:rsidRDefault="00EA3A5E" w:rsidP="00425DA9">
      <w:pPr>
        <w:pStyle w:val="Default"/>
        <w:numPr>
          <w:ilvl w:val="0"/>
          <w:numId w:val="27"/>
        </w:numPr>
        <w:suppressAutoHyphens/>
        <w:ind w:right="49"/>
        <w:rPr>
          <w:rFonts w:eastAsia="Calibri"/>
          <w:bCs/>
        </w:rPr>
      </w:pPr>
      <w:r w:rsidRPr="00C63D02">
        <w:rPr>
          <w:rFonts w:eastAsia="Calibri"/>
          <w:bCs/>
        </w:rPr>
        <w:t>Se dispone de evidencia procedente de informes internos que indican que el rendimiento económico del activo es, o va a ser, inferior al esperado.</w:t>
      </w:r>
    </w:p>
    <w:p w14:paraId="18E6F906" w14:textId="77777777" w:rsidR="00EA3A5E" w:rsidRPr="00C63D02" w:rsidRDefault="00EA3A5E" w:rsidP="00EA3A5E">
      <w:pPr>
        <w:pStyle w:val="Default"/>
        <w:suppressAutoHyphens/>
        <w:ind w:left="1287" w:firstLine="0"/>
        <w:rPr>
          <w:rFonts w:eastAsia="Calibri"/>
          <w:bCs/>
        </w:rPr>
      </w:pPr>
    </w:p>
    <w:p w14:paraId="6FEC1D7D" w14:textId="71063AE5" w:rsidR="00EA3A5E" w:rsidRPr="00C63D02" w:rsidRDefault="00EA3A5E" w:rsidP="00B06DD4">
      <w:pPr>
        <w:pStyle w:val="Default"/>
        <w:tabs>
          <w:tab w:val="left" w:pos="8222"/>
        </w:tabs>
        <w:suppressAutoHyphens/>
        <w:ind w:left="567" w:right="49" w:firstLine="0"/>
        <w:rPr>
          <w:rFonts w:eastAsia="Calibri"/>
          <w:bCs/>
        </w:rPr>
      </w:pPr>
      <w:r w:rsidRPr="00C63D02">
        <w:rPr>
          <w:rFonts w:eastAsia="Calibri"/>
          <w:bCs/>
        </w:rPr>
        <w:t xml:space="preserve">En el periodo contable que finalizó el </w:t>
      </w:r>
      <w:r w:rsidR="00322E9E">
        <w:rPr>
          <w:rFonts w:eastAsia="Calibri"/>
          <w:bCs/>
        </w:rPr>
        <w:t>31</w:t>
      </w:r>
      <w:r w:rsidR="007831C9">
        <w:rPr>
          <w:rFonts w:eastAsia="Calibri"/>
          <w:bCs/>
        </w:rPr>
        <w:t xml:space="preserve"> </w:t>
      </w:r>
      <w:r w:rsidR="00432519">
        <w:rPr>
          <w:rFonts w:eastAsia="Calibri"/>
          <w:bCs/>
        </w:rPr>
        <w:t>marzo 2022</w:t>
      </w:r>
      <w:r w:rsidRPr="00C63D02">
        <w:rPr>
          <w:rFonts w:eastAsia="Calibri"/>
          <w:bCs/>
        </w:rPr>
        <w:t xml:space="preserve"> no se identificaron evidencias de deterioro del valor de las propiedades planta y equipo.</w:t>
      </w:r>
    </w:p>
    <w:p w14:paraId="0A469EBC" w14:textId="77777777" w:rsidR="001E7042" w:rsidRDefault="001E7042" w:rsidP="0003358F">
      <w:pPr>
        <w:suppressAutoHyphens/>
        <w:autoSpaceDE w:val="0"/>
        <w:autoSpaceDN w:val="0"/>
        <w:adjustRightInd w:val="0"/>
        <w:spacing w:after="0" w:line="240" w:lineRule="auto"/>
        <w:ind w:left="567"/>
        <w:jc w:val="both"/>
        <w:rPr>
          <w:rFonts w:ascii="Times New Roman" w:hAnsi="Times New Roman"/>
          <w:sz w:val="24"/>
          <w:szCs w:val="24"/>
          <w:lang w:eastAsia="x-none"/>
        </w:rPr>
      </w:pPr>
    </w:p>
    <w:p w14:paraId="7ECBFD21" w14:textId="6DE52197" w:rsidR="00EA3A5E" w:rsidRPr="00C63D02" w:rsidRDefault="00EA3A5E" w:rsidP="0003358F">
      <w:pPr>
        <w:suppressAutoHyphens/>
        <w:autoSpaceDE w:val="0"/>
        <w:autoSpaceDN w:val="0"/>
        <w:adjustRightInd w:val="0"/>
        <w:spacing w:after="0" w:line="240" w:lineRule="auto"/>
        <w:ind w:left="567"/>
        <w:jc w:val="both"/>
        <w:rPr>
          <w:rFonts w:ascii="Times New Roman" w:hAnsi="Times New Roman"/>
          <w:sz w:val="24"/>
          <w:szCs w:val="24"/>
          <w:lang w:eastAsia="x-none"/>
        </w:rPr>
      </w:pPr>
      <w:r w:rsidRPr="00C63D02">
        <w:rPr>
          <w:rFonts w:ascii="Times New Roman" w:hAnsi="Times New Roman"/>
          <w:sz w:val="24"/>
          <w:szCs w:val="24"/>
          <w:lang w:eastAsia="x-none"/>
        </w:rPr>
        <w:t xml:space="preserve">El valor razonable de las edificaciones y el deterioro del </w:t>
      </w:r>
      <w:r w:rsidRPr="00C63D02">
        <w:rPr>
          <w:rFonts w:ascii="Times New Roman" w:hAnsi="Times New Roman"/>
          <w:bCs/>
          <w:sz w:val="24"/>
          <w:szCs w:val="24"/>
        </w:rPr>
        <w:t xml:space="preserve">edificio ubicado en la Calle 17 No. 3-40; </w:t>
      </w:r>
      <w:r w:rsidRPr="00C63D02">
        <w:rPr>
          <w:rFonts w:ascii="Times New Roman" w:hAnsi="Times New Roman"/>
          <w:sz w:val="24"/>
          <w:szCs w:val="24"/>
          <w:lang w:eastAsia="x-none"/>
        </w:rPr>
        <w:t>fue determinado por peritaje independiente, mediante el cual se estableció el precio que recibiría la entidad por vender las edificaciones, de acuerdo con las</w:t>
      </w:r>
      <w:r w:rsidR="0003358F">
        <w:rPr>
          <w:rFonts w:ascii="Times New Roman" w:hAnsi="Times New Roman"/>
          <w:sz w:val="24"/>
          <w:szCs w:val="24"/>
          <w:lang w:eastAsia="x-none"/>
        </w:rPr>
        <w:t xml:space="preserve"> </w:t>
      </w:r>
      <w:r w:rsidRPr="00C63D02">
        <w:rPr>
          <w:rFonts w:ascii="Times New Roman" w:hAnsi="Times New Roman"/>
          <w:sz w:val="24"/>
          <w:szCs w:val="24"/>
          <w:lang w:eastAsia="x-none"/>
        </w:rPr>
        <w:t xml:space="preserve">condiciones del mercado al cierre del periodo contable terminado el 31 de diciembre de 2018. </w:t>
      </w:r>
    </w:p>
    <w:p w14:paraId="72BACD07" w14:textId="77777777" w:rsidR="00EA3A5E" w:rsidRPr="00C63D02" w:rsidRDefault="00EA3A5E" w:rsidP="0003358F">
      <w:pPr>
        <w:suppressAutoHyphens/>
        <w:autoSpaceDE w:val="0"/>
        <w:autoSpaceDN w:val="0"/>
        <w:adjustRightInd w:val="0"/>
        <w:spacing w:after="0" w:line="240" w:lineRule="auto"/>
        <w:ind w:left="567"/>
        <w:rPr>
          <w:rFonts w:ascii="Times New Roman" w:hAnsi="Times New Roman"/>
          <w:sz w:val="24"/>
          <w:szCs w:val="24"/>
          <w:lang w:eastAsia="x-none"/>
        </w:rPr>
      </w:pPr>
    </w:p>
    <w:p w14:paraId="03587112" w14:textId="20E1EDBC" w:rsidR="00EA3A5E" w:rsidRDefault="00EA3A5E" w:rsidP="0003358F">
      <w:pPr>
        <w:suppressAutoHyphens/>
        <w:autoSpaceDE w:val="0"/>
        <w:autoSpaceDN w:val="0"/>
        <w:adjustRightInd w:val="0"/>
        <w:spacing w:after="0" w:line="240" w:lineRule="auto"/>
        <w:ind w:left="567"/>
        <w:rPr>
          <w:rFonts w:ascii="Times New Roman" w:hAnsi="Times New Roman"/>
          <w:sz w:val="24"/>
          <w:szCs w:val="24"/>
          <w:lang w:eastAsia="x-none"/>
        </w:rPr>
      </w:pPr>
      <w:r w:rsidRPr="00C63D02">
        <w:rPr>
          <w:rFonts w:ascii="Times New Roman" w:hAnsi="Times New Roman"/>
          <w:sz w:val="24"/>
          <w:szCs w:val="24"/>
          <w:lang w:eastAsia="x-none"/>
        </w:rPr>
        <w:t>El deterioro de valor reconocido para las edificaciones no ha sido objeto de reversión.</w:t>
      </w:r>
    </w:p>
    <w:p w14:paraId="1669FA20" w14:textId="77777777" w:rsidR="00407D75" w:rsidRPr="00C63D02" w:rsidRDefault="00407D75" w:rsidP="0003358F">
      <w:pPr>
        <w:suppressAutoHyphens/>
        <w:autoSpaceDE w:val="0"/>
        <w:autoSpaceDN w:val="0"/>
        <w:adjustRightInd w:val="0"/>
        <w:spacing w:after="0" w:line="240" w:lineRule="auto"/>
        <w:ind w:left="567"/>
        <w:rPr>
          <w:rFonts w:ascii="Times New Roman" w:hAnsi="Times New Roman"/>
          <w:sz w:val="24"/>
          <w:szCs w:val="24"/>
          <w:lang w:eastAsia="x-none"/>
        </w:rPr>
      </w:pPr>
    </w:p>
    <w:p w14:paraId="06A4CDD2" w14:textId="70013FFC" w:rsidR="00364B83" w:rsidRPr="006209C2" w:rsidRDefault="00364B83" w:rsidP="00425DA9">
      <w:pPr>
        <w:pStyle w:val="Ttulo2"/>
        <w:numPr>
          <w:ilvl w:val="1"/>
          <w:numId w:val="10"/>
        </w:numPr>
        <w:ind w:left="567" w:hanging="567"/>
        <w:rPr>
          <w:szCs w:val="22"/>
        </w:rPr>
      </w:pPr>
      <w:bookmarkStart w:id="36" w:name="_Toc99455320"/>
      <w:r w:rsidRPr="006209C2">
        <w:rPr>
          <w:szCs w:val="22"/>
        </w:rPr>
        <w:t>Estimaciones</w:t>
      </w:r>
      <w:bookmarkEnd w:id="36"/>
    </w:p>
    <w:p w14:paraId="7B78B146" w14:textId="77777777" w:rsidR="00364B83" w:rsidRPr="00E2373F" w:rsidRDefault="00364B83" w:rsidP="00667BC9">
      <w:pPr>
        <w:spacing w:after="0" w:line="240" w:lineRule="auto"/>
        <w:jc w:val="both"/>
        <w:rPr>
          <w:rFonts w:ascii="Times New Roman" w:hAnsi="Times New Roman"/>
          <w:b/>
          <w:sz w:val="24"/>
          <w:szCs w:val="24"/>
        </w:rPr>
      </w:pPr>
    </w:p>
    <w:p w14:paraId="3C30ED73" w14:textId="012EA13B" w:rsidR="0073200F" w:rsidRDefault="003D45CF" w:rsidP="00C6499E">
      <w:pPr>
        <w:spacing w:after="0" w:line="240" w:lineRule="auto"/>
        <w:jc w:val="both"/>
        <w:rPr>
          <w:rFonts w:ascii="Times New Roman" w:hAnsi="Times New Roman"/>
          <w:sz w:val="24"/>
          <w:szCs w:val="24"/>
        </w:rPr>
      </w:pPr>
      <w:r w:rsidRPr="003D45CF">
        <w:rPr>
          <w:rFonts w:ascii="Times New Roman" w:hAnsi="Times New Roman"/>
          <w:sz w:val="24"/>
          <w:szCs w:val="24"/>
        </w:rPr>
        <w:t>La depreciación de las propiedades, planta y equipo inicia cuando los activos están disponibles para su uso previsto,</w:t>
      </w:r>
      <w:r w:rsidR="004A4F84">
        <w:rPr>
          <w:rFonts w:ascii="Times New Roman" w:hAnsi="Times New Roman"/>
          <w:sz w:val="24"/>
          <w:szCs w:val="24"/>
        </w:rPr>
        <w:t xml:space="preserve"> </w:t>
      </w:r>
      <w:r w:rsidRPr="003D45CF">
        <w:rPr>
          <w:rFonts w:ascii="Times New Roman" w:hAnsi="Times New Roman"/>
          <w:sz w:val="24"/>
          <w:szCs w:val="24"/>
        </w:rPr>
        <w:t>es calculada linealmente durante la vida útil estimada de los activos hasta el monto de su valor residual, en el caso de que exista. Las vidas útiles estimadas oscilan entre los siguientes rangos:</w:t>
      </w:r>
    </w:p>
    <w:p w14:paraId="74EC0E80" w14:textId="5B716C3B" w:rsidR="00154A76" w:rsidRDefault="005B54E4" w:rsidP="00C6499E">
      <w:pPr>
        <w:spacing w:after="0" w:line="240" w:lineRule="auto"/>
        <w:jc w:val="both"/>
        <w:rPr>
          <w:rFonts w:ascii="Times New Roman" w:hAnsi="Times New Roman"/>
          <w:sz w:val="24"/>
          <w:szCs w:val="24"/>
        </w:rPr>
      </w:pPr>
      <w:r w:rsidRPr="005B54E4">
        <w:rPr>
          <w:noProof/>
        </w:rPr>
        <w:drawing>
          <wp:anchor distT="0" distB="0" distL="114300" distR="114300" simplePos="0" relativeHeight="252113920" behindDoc="1" locked="0" layoutInCell="1" allowOverlap="1" wp14:anchorId="669D4A0D" wp14:editId="75789DF9">
            <wp:simplePos x="0" y="0"/>
            <wp:positionH relativeFrom="column">
              <wp:posOffset>101600</wp:posOffset>
            </wp:positionH>
            <wp:positionV relativeFrom="paragraph">
              <wp:posOffset>120015</wp:posOffset>
            </wp:positionV>
            <wp:extent cx="5791835" cy="2505075"/>
            <wp:effectExtent l="0" t="0" r="0" b="952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835" cy="2505075"/>
                    </a:xfrm>
                    <a:prstGeom prst="rect">
                      <a:avLst/>
                    </a:prstGeom>
                    <a:noFill/>
                    <a:ln>
                      <a:noFill/>
                    </a:ln>
                  </pic:spPr>
                </pic:pic>
              </a:graphicData>
            </a:graphic>
            <wp14:sizeRelV relativeFrom="margin">
              <wp14:pctHeight>0</wp14:pctHeight>
            </wp14:sizeRelV>
          </wp:anchor>
        </w:drawing>
      </w:r>
    </w:p>
    <w:p w14:paraId="410939BC" w14:textId="21B52087" w:rsidR="00154A76" w:rsidRDefault="00154A76" w:rsidP="00C6499E">
      <w:pPr>
        <w:spacing w:after="0" w:line="240" w:lineRule="auto"/>
        <w:jc w:val="both"/>
        <w:rPr>
          <w:rFonts w:ascii="Times New Roman" w:hAnsi="Times New Roman"/>
          <w:sz w:val="24"/>
          <w:szCs w:val="24"/>
        </w:rPr>
      </w:pPr>
    </w:p>
    <w:p w14:paraId="737B3E8D" w14:textId="4BF5CB01" w:rsidR="00154A76" w:rsidRDefault="00154A76" w:rsidP="00C6499E">
      <w:pPr>
        <w:spacing w:after="0" w:line="240" w:lineRule="auto"/>
        <w:jc w:val="both"/>
        <w:rPr>
          <w:rFonts w:ascii="Times New Roman" w:hAnsi="Times New Roman"/>
          <w:sz w:val="24"/>
          <w:szCs w:val="24"/>
        </w:rPr>
      </w:pPr>
    </w:p>
    <w:p w14:paraId="713DBA6A" w14:textId="4B9453DA" w:rsidR="00154A76" w:rsidRDefault="00154A76" w:rsidP="00C6499E">
      <w:pPr>
        <w:spacing w:after="0" w:line="240" w:lineRule="auto"/>
        <w:jc w:val="both"/>
        <w:rPr>
          <w:rFonts w:ascii="Times New Roman" w:hAnsi="Times New Roman"/>
          <w:sz w:val="24"/>
          <w:szCs w:val="24"/>
        </w:rPr>
      </w:pPr>
    </w:p>
    <w:p w14:paraId="7E93EC1A" w14:textId="65106C74" w:rsidR="00154A76" w:rsidRDefault="00154A76" w:rsidP="00C6499E">
      <w:pPr>
        <w:spacing w:after="0" w:line="240" w:lineRule="auto"/>
        <w:jc w:val="both"/>
        <w:rPr>
          <w:rFonts w:ascii="Times New Roman" w:hAnsi="Times New Roman"/>
          <w:sz w:val="24"/>
          <w:szCs w:val="24"/>
        </w:rPr>
      </w:pPr>
    </w:p>
    <w:p w14:paraId="1C625DBE" w14:textId="31BD6F09" w:rsidR="00154A76" w:rsidRDefault="00154A76" w:rsidP="00C6499E">
      <w:pPr>
        <w:spacing w:after="0" w:line="240" w:lineRule="auto"/>
        <w:jc w:val="both"/>
        <w:rPr>
          <w:rFonts w:ascii="Times New Roman" w:hAnsi="Times New Roman"/>
          <w:sz w:val="24"/>
          <w:szCs w:val="24"/>
        </w:rPr>
      </w:pPr>
    </w:p>
    <w:p w14:paraId="635280B6" w14:textId="643520FE" w:rsidR="00154A76" w:rsidRDefault="00154A76" w:rsidP="00C6499E">
      <w:pPr>
        <w:spacing w:after="0" w:line="240" w:lineRule="auto"/>
        <w:jc w:val="both"/>
        <w:rPr>
          <w:rFonts w:ascii="Times New Roman" w:hAnsi="Times New Roman"/>
          <w:sz w:val="24"/>
          <w:szCs w:val="24"/>
        </w:rPr>
      </w:pPr>
    </w:p>
    <w:p w14:paraId="51CAA9FE" w14:textId="1DF309AC" w:rsidR="00154A76" w:rsidRDefault="00154A76" w:rsidP="00C6499E">
      <w:pPr>
        <w:spacing w:after="0" w:line="240" w:lineRule="auto"/>
        <w:jc w:val="both"/>
        <w:rPr>
          <w:rFonts w:ascii="Times New Roman" w:hAnsi="Times New Roman"/>
          <w:sz w:val="24"/>
          <w:szCs w:val="24"/>
        </w:rPr>
      </w:pPr>
    </w:p>
    <w:p w14:paraId="7C99B5E3" w14:textId="2FE3D268" w:rsidR="00154A76" w:rsidRDefault="00154A76" w:rsidP="00C6499E">
      <w:pPr>
        <w:spacing w:after="0" w:line="240" w:lineRule="auto"/>
        <w:jc w:val="both"/>
        <w:rPr>
          <w:rFonts w:ascii="Times New Roman" w:hAnsi="Times New Roman"/>
          <w:sz w:val="24"/>
          <w:szCs w:val="24"/>
        </w:rPr>
      </w:pPr>
    </w:p>
    <w:p w14:paraId="520BACE2" w14:textId="24F4306C" w:rsidR="00154A76" w:rsidRDefault="00154A76" w:rsidP="00C6499E">
      <w:pPr>
        <w:spacing w:after="0" w:line="240" w:lineRule="auto"/>
        <w:jc w:val="both"/>
        <w:rPr>
          <w:rFonts w:ascii="Times New Roman" w:hAnsi="Times New Roman"/>
          <w:sz w:val="24"/>
          <w:szCs w:val="24"/>
        </w:rPr>
      </w:pPr>
    </w:p>
    <w:p w14:paraId="46F25C4D" w14:textId="5ACBD13C" w:rsidR="00154A76" w:rsidRDefault="00154A76" w:rsidP="00C6499E">
      <w:pPr>
        <w:spacing w:after="0" w:line="240" w:lineRule="auto"/>
        <w:jc w:val="both"/>
        <w:rPr>
          <w:rFonts w:ascii="Times New Roman" w:hAnsi="Times New Roman"/>
          <w:sz w:val="24"/>
          <w:szCs w:val="24"/>
        </w:rPr>
      </w:pPr>
    </w:p>
    <w:p w14:paraId="0B7B3863" w14:textId="296DF533" w:rsidR="004A4F84" w:rsidRPr="00E2373F" w:rsidRDefault="004A4F84" w:rsidP="00C6499E">
      <w:pPr>
        <w:spacing w:after="0" w:line="240" w:lineRule="auto"/>
        <w:jc w:val="both"/>
        <w:rPr>
          <w:rFonts w:ascii="Times New Roman" w:hAnsi="Times New Roman"/>
          <w:sz w:val="24"/>
          <w:szCs w:val="24"/>
        </w:rPr>
      </w:pPr>
    </w:p>
    <w:p w14:paraId="7FBDCAB8" w14:textId="2F0FF745" w:rsidR="003D26CA" w:rsidRDefault="003D26CA" w:rsidP="00BD2805">
      <w:pPr>
        <w:spacing w:after="0" w:line="240" w:lineRule="auto"/>
        <w:jc w:val="both"/>
      </w:pPr>
    </w:p>
    <w:p w14:paraId="69BA2468" w14:textId="283FE5C5" w:rsidR="00745605" w:rsidRDefault="00745605" w:rsidP="00073315">
      <w:pPr>
        <w:pStyle w:val="Ttulo1"/>
      </w:pPr>
    </w:p>
    <w:p w14:paraId="365E6DB7" w14:textId="170E5A2E" w:rsidR="00154A76" w:rsidRDefault="00154A76" w:rsidP="00154A76"/>
    <w:p w14:paraId="1CA65B46" w14:textId="350847A0" w:rsidR="00322E9E" w:rsidRDefault="00322E9E" w:rsidP="00154A76"/>
    <w:p w14:paraId="19B08BA3" w14:textId="77777777" w:rsidR="00322E9E" w:rsidRDefault="00322E9E" w:rsidP="00154A76"/>
    <w:p w14:paraId="2FFB7C71" w14:textId="12B689EB" w:rsidR="00287990" w:rsidRPr="00E2373F" w:rsidRDefault="001670E7" w:rsidP="00073315">
      <w:pPr>
        <w:pStyle w:val="Ttulo1"/>
      </w:pPr>
      <w:bookmarkStart w:id="37" w:name="_Toc99455321"/>
      <w:r w:rsidRPr="00E2373F">
        <w:lastRenderedPageBreak/>
        <w:t>NOTA 1</w:t>
      </w:r>
      <w:r w:rsidR="001F0D65" w:rsidRPr="00E2373F">
        <w:t>3</w:t>
      </w:r>
      <w:r w:rsidRPr="00E2373F">
        <w:t>. PROPIEDADES DE INVERSIÓN</w:t>
      </w:r>
      <w:bookmarkEnd w:id="37"/>
    </w:p>
    <w:p w14:paraId="04CF1EAD" w14:textId="77777777" w:rsidR="005C6B2C" w:rsidRPr="00E2373F" w:rsidRDefault="005C6B2C" w:rsidP="00667BC9">
      <w:pPr>
        <w:spacing w:after="0" w:line="240" w:lineRule="auto"/>
        <w:jc w:val="both"/>
        <w:rPr>
          <w:rFonts w:ascii="Times New Roman" w:hAnsi="Times New Roman"/>
          <w:b/>
          <w:sz w:val="24"/>
          <w:szCs w:val="24"/>
        </w:rPr>
      </w:pPr>
    </w:p>
    <w:p w14:paraId="18D88B3C" w14:textId="748DDC34" w:rsidR="005C6B2C" w:rsidRPr="00AC7E07" w:rsidRDefault="005C6B2C" w:rsidP="00AC7E07">
      <w:pPr>
        <w:pStyle w:val="Ttulo2"/>
        <w:numPr>
          <w:ilvl w:val="0"/>
          <w:numId w:val="0"/>
        </w:numPr>
        <w:rPr>
          <w:szCs w:val="22"/>
        </w:rPr>
      </w:pPr>
      <w:bookmarkStart w:id="38" w:name="_Toc99455322"/>
      <w:r w:rsidRPr="00AC7E07">
        <w:rPr>
          <w:szCs w:val="22"/>
        </w:rPr>
        <w:t>Composición</w:t>
      </w:r>
      <w:bookmarkEnd w:id="38"/>
    </w:p>
    <w:p w14:paraId="4662375A" w14:textId="2457B0DE" w:rsidR="005C6B2C" w:rsidRDefault="005C6B2C" w:rsidP="00667BC9">
      <w:pPr>
        <w:spacing w:after="0" w:line="240" w:lineRule="auto"/>
        <w:jc w:val="both"/>
        <w:rPr>
          <w:rFonts w:ascii="Times New Roman" w:hAnsi="Times New Roman"/>
          <w:b/>
          <w:sz w:val="24"/>
          <w:szCs w:val="24"/>
        </w:rPr>
      </w:pPr>
    </w:p>
    <w:p w14:paraId="5328F443" w14:textId="18047A62" w:rsidR="00300721" w:rsidRDefault="008632C4" w:rsidP="00667BC9">
      <w:pPr>
        <w:spacing w:after="0" w:line="240" w:lineRule="auto"/>
        <w:jc w:val="both"/>
        <w:rPr>
          <w:rFonts w:ascii="Times New Roman" w:hAnsi="Times New Roman"/>
          <w:bCs/>
          <w:sz w:val="24"/>
          <w:szCs w:val="24"/>
        </w:rPr>
      </w:pPr>
      <w:r w:rsidRPr="008632C4">
        <w:rPr>
          <w:rFonts w:ascii="Times New Roman" w:hAnsi="Times New Roman"/>
          <w:bCs/>
          <w:sz w:val="24"/>
          <w:szCs w:val="24"/>
        </w:rPr>
        <w:t xml:space="preserve">La desagregación de las propiedades de inversión presentadas en el estado de situación financiera al </w:t>
      </w:r>
      <w:r w:rsidR="00432519">
        <w:rPr>
          <w:rFonts w:ascii="Times New Roman" w:hAnsi="Times New Roman"/>
          <w:bCs/>
          <w:sz w:val="24"/>
          <w:szCs w:val="24"/>
        </w:rPr>
        <w:t>31 de marzo de 2022 y 31 de marzo de 2021</w:t>
      </w:r>
      <w:r w:rsidR="00E919A7">
        <w:rPr>
          <w:rFonts w:ascii="Times New Roman" w:hAnsi="Times New Roman"/>
          <w:bCs/>
          <w:sz w:val="24"/>
          <w:szCs w:val="24"/>
        </w:rPr>
        <w:t xml:space="preserve"> </w:t>
      </w:r>
      <w:r w:rsidRPr="008632C4">
        <w:rPr>
          <w:rFonts w:ascii="Times New Roman" w:hAnsi="Times New Roman"/>
          <w:bCs/>
          <w:sz w:val="24"/>
          <w:szCs w:val="24"/>
        </w:rPr>
        <w:t>es la siguiente:</w:t>
      </w:r>
    </w:p>
    <w:p w14:paraId="737C3AF7" w14:textId="7BCA3F84" w:rsidR="00E919A7" w:rsidRDefault="00322E9E" w:rsidP="00667BC9">
      <w:pPr>
        <w:spacing w:after="0" w:line="240" w:lineRule="auto"/>
        <w:jc w:val="both"/>
        <w:rPr>
          <w:noProof/>
        </w:rPr>
      </w:pPr>
      <w:r w:rsidRPr="00322E9E">
        <w:rPr>
          <w:noProof/>
        </w:rPr>
        <w:drawing>
          <wp:anchor distT="0" distB="0" distL="114300" distR="114300" simplePos="0" relativeHeight="252716032" behindDoc="1" locked="0" layoutInCell="1" allowOverlap="1" wp14:anchorId="1A515427" wp14:editId="701DA4B1">
            <wp:simplePos x="0" y="0"/>
            <wp:positionH relativeFrom="column">
              <wp:posOffset>0</wp:posOffset>
            </wp:positionH>
            <wp:positionV relativeFrom="paragraph">
              <wp:posOffset>57785</wp:posOffset>
            </wp:positionV>
            <wp:extent cx="5881370" cy="2498090"/>
            <wp:effectExtent l="0" t="0" r="508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1370" cy="2498090"/>
                    </a:xfrm>
                    <a:prstGeom prst="rect">
                      <a:avLst/>
                    </a:prstGeom>
                    <a:noFill/>
                    <a:ln>
                      <a:noFill/>
                    </a:ln>
                  </pic:spPr>
                </pic:pic>
              </a:graphicData>
            </a:graphic>
          </wp:anchor>
        </w:drawing>
      </w:r>
    </w:p>
    <w:p w14:paraId="0F06CC41" w14:textId="3BA55E56" w:rsidR="00EC4B21" w:rsidRDefault="00EC4B21" w:rsidP="00667BC9">
      <w:pPr>
        <w:spacing w:after="0" w:line="240" w:lineRule="auto"/>
        <w:jc w:val="both"/>
        <w:rPr>
          <w:rFonts w:ascii="Times New Roman" w:hAnsi="Times New Roman"/>
          <w:bCs/>
          <w:sz w:val="24"/>
          <w:szCs w:val="24"/>
        </w:rPr>
      </w:pPr>
    </w:p>
    <w:p w14:paraId="2DC8388B" w14:textId="65127556" w:rsidR="005C6B2C" w:rsidRDefault="005C6B2C" w:rsidP="00667BC9">
      <w:pPr>
        <w:spacing w:after="0" w:line="240" w:lineRule="auto"/>
        <w:jc w:val="both"/>
        <w:rPr>
          <w:rFonts w:ascii="Times New Roman" w:hAnsi="Times New Roman"/>
          <w:sz w:val="24"/>
          <w:szCs w:val="24"/>
        </w:rPr>
      </w:pPr>
    </w:p>
    <w:p w14:paraId="377C3B0C" w14:textId="2E40C6FE" w:rsidR="00AC7143" w:rsidRDefault="00AC7143" w:rsidP="00667BC9">
      <w:pPr>
        <w:spacing w:after="0" w:line="240" w:lineRule="auto"/>
        <w:jc w:val="both"/>
        <w:rPr>
          <w:rFonts w:ascii="Times New Roman" w:hAnsi="Times New Roman"/>
          <w:sz w:val="24"/>
          <w:szCs w:val="24"/>
        </w:rPr>
      </w:pPr>
    </w:p>
    <w:p w14:paraId="6663D6E2" w14:textId="1F3781B5" w:rsidR="00AC7143" w:rsidRDefault="00AC7143" w:rsidP="00667BC9">
      <w:pPr>
        <w:spacing w:after="0" w:line="240" w:lineRule="auto"/>
        <w:jc w:val="both"/>
        <w:rPr>
          <w:rFonts w:ascii="Times New Roman" w:hAnsi="Times New Roman"/>
          <w:sz w:val="24"/>
          <w:szCs w:val="24"/>
        </w:rPr>
      </w:pPr>
    </w:p>
    <w:p w14:paraId="2F77BBEB" w14:textId="1F7104EF" w:rsidR="00AC7143" w:rsidRDefault="00AC7143" w:rsidP="00667BC9">
      <w:pPr>
        <w:spacing w:after="0" w:line="240" w:lineRule="auto"/>
        <w:jc w:val="both"/>
        <w:rPr>
          <w:rFonts w:ascii="Times New Roman" w:hAnsi="Times New Roman"/>
          <w:sz w:val="24"/>
          <w:szCs w:val="24"/>
        </w:rPr>
      </w:pPr>
    </w:p>
    <w:p w14:paraId="4DD70124" w14:textId="4C53A462" w:rsidR="00AC7143" w:rsidRDefault="00AC7143" w:rsidP="00667BC9">
      <w:pPr>
        <w:spacing w:after="0" w:line="240" w:lineRule="auto"/>
        <w:jc w:val="both"/>
        <w:rPr>
          <w:rFonts w:ascii="Times New Roman" w:hAnsi="Times New Roman"/>
          <w:sz w:val="24"/>
          <w:szCs w:val="24"/>
        </w:rPr>
      </w:pPr>
    </w:p>
    <w:p w14:paraId="3FD6296E" w14:textId="1AD5251B" w:rsidR="00AC7143" w:rsidRDefault="00AC7143" w:rsidP="00667BC9">
      <w:pPr>
        <w:spacing w:after="0" w:line="240" w:lineRule="auto"/>
        <w:jc w:val="both"/>
        <w:rPr>
          <w:rFonts w:ascii="Times New Roman" w:hAnsi="Times New Roman"/>
          <w:sz w:val="24"/>
          <w:szCs w:val="24"/>
        </w:rPr>
      </w:pPr>
    </w:p>
    <w:p w14:paraId="7DFD318E" w14:textId="0A17686C" w:rsidR="00490B31" w:rsidRDefault="00490B31" w:rsidP="00667BC9">
      <w:pPr>
        <w:spacing w:after="0" w:line="240" w:lineRule="auto"/>
        <w:jc w:val="both"/>
        <w:rPr>
          <w:rFonts w:ascii="Times New Roman" w:hAnsi="Times New Roman"/>
          <w:sz w:val="24"/>
          <w:szCs w:val="24"/>
        </w:rPr>
      </w:pPr>
    </w:p>
    <w:p w14:paraId="3F0DB068" w14:textId="0B354FF7" w:rsidR="00490B31" w:rsidRDefault="00490B31" w:rsidP="00667BC9">
      <w:pPr>
        <w:spacing w:after="0" w:line="240" w:lineRule="auto"/>
        <w:jc w:val="both"/>
        <w:rPr>
          <w:rFonts w:ascii="Times New Roman" w:hAnsi="Times New Roman"/>
          <w:sz w:val="24"/>
          <w:szCs w:val="24"/>
        </w:rPr>
      </w:pPr>
    </w:p>
    <w:p w14:paraId="17496377" w14:textId="75799090" w:rsidR="00490B31" w:rsidRDefault="00490B31" w:rsidP="00667BC9">
      <w:pPr>
        <w:spacing w:after="0" w:line="240" w:lineRule="auto"/>
        <w:jc w:val="both"/>
        <w:rPr>
          <w:rFonts w:ascii="Times New Roman" w:hAnsi="Times New Roman"/>
          <w:sz w:val="24"/>
          <w:szCs w:val="24"/>
        </w:rPr>
      </w:pPr>
    </w:p>
    <w:p w14:paraId="53ABD754" w14:textId="02708477" w:rsidR="00490B31" w:rsidRDefault="00490B31" w:rsidP="00667BC9">
      <w:pPr>
        <w:spacing w:after="0" w:line="240" w:lineRule="auto"/>
        <w:jc w:val="both"/>
        <w:rPr>
          <w:rFonts w:ascii="Times New Roman" w:hAnsi="Times New Roman"/>
          <w:sz w:val="24"/>
          <w:szCs w:val="24"/>
        </w:rPr>
      </w:pPr>
    </w:p>
    <w:p w14:paraId="31967FA1" w14:textId="75AB1862" w:rsidR="00490B31" w:rsidRDefault="00490B31" w:rsidP="00667BC9">
      <w:pPr>
        <w:spacing w:after="0" w:line="240" w:lineRule="auto"/>
        <w:jc w:val="both"/>
        <w:rPr>
          <w:rFonts w:ascii="Times New Roman" w:hAnsi="Times New Roman"/>
          <w:sz w:val="24"/>
          <w:szCs w:val="24"/>
        </w:rPr>
      </w:pPr>
    </w:p>
    <w:p w14:paraId="3FD350BA" w14:textId="4A4AD428" w:rsidR="00490B31" w:rsidRDefault="00490B31" w:rsidP="00667BC9">
      <w:pPr>
        <w:spacing w:after="0" w:line="240" w:lineRule="auto"/>
        <w:jc w:val="both"/>
        <w:rPr>
          <w:rFonts w:ascii="Times New Roman" w:hAnsi="Times New Roman"/>
          <w:sz w:val="24"/>
          <w:szCs w:val="24"/>
        </w:rPr>
      </w:pPr>
    </w:p>
    <w:p w14:paraId="752DE810" w14:textId="3FABDCE3" w:rsidR="005C6B2C" w:rsidRDefault="005C6B2C" w:rsidP="00667BC9">
      <w:pPr>
        <w:pStyle w:val="Prrafodelista"/>
        <w:spacing w:after="0" w:line="240" w:lineRule="auto"/>
        <w:ind w:left="0"/>
        <w:jc w:val="center"/>
        <w:rPr>
          <w:rFonts w:ascii="Times New Roman" w:hAnsi="Times New Roman"/>
          <w:sz w:val="24"/>
          <w:szCs w:val="24"/>
        </w:rPr>
      </w:pPr>
    </w:p>
    <w:p w14:paraId="28F44730" w14:textId="71C2198D" w:rsidR="005C6B2C" w:rsidRPr="00E8310C" w:rsidRDefault="005C6B2C" w:rsidP="00425DA9">
      <w:pPr>
        <w:pStyle w:val="Ttulo2"/>
        <w:numPr>
          <w:ilvl w:val="1"/>
          <w:numId w:val="11"/>
        </w:numPr>
        <w:ind w:left="567" w:hanging="567"/>
        <w:rPr>
          <w:szCs w:val="22"/>
        </w:rPr>
      </w:pPr>
      <w:bookmarkStart w:id="39" w:name="_Toc99455323"/>
      <w:r w:rsidRPr="00E8310C">
        <w:rPr>
          <w:szCs w:val="22"/>
        </w:rPr>
        <w:t>Detalle saldos y movimientos</w:t>
      </w:r>
      <w:bookmarkEnd w:id="39"/>
    </w:p>
    <w:p w14:paraId="3E5BB4B6" w14:textId="3E5B3693" w:rsidR="005C6B2C" w:rsidRPr="00E2373F" w:rsidRDefault="00322E9E" w:rsidP="00667BC9">
      <w:pPr>
        <w:spacing w:after="0" w:line="240" w:lineRule="auto"/>
        <w:ind w:left="720"/>
        <w:jc w:val="both"/>
        <w:rPr>
          <w:rFonts w:ascii="Times New Roman" w:hAnsi="Times New Roman"/>
          <w:sz w:val="24"/>
          <w:szCs w:val="24"/>
        </w:rPr>
      </w:pPr>
      <w:r w:rsidRPr="00322E9E">
        <w:rPr>
          <w:noProof/>
        </w:rPr>
        <w:drawing>
          <wp:anchor distT="0" distB="0" distL="114300" distR="114300" simplePos="0" relativeHeight="252717056" behindDoc="1" locked="0" layoutInCell="1" allowOverlap="1" wp14:anchorId="35C4AF64" wp14:editId="1A22B655">
            <wp:simplePos x="0" y="0"/>
            <wp:positionH relativeFrom="column">
              <wp:posOffset>0</wp:posOffset>
            </wp:positionH>
            <wp:positionV relativeFrom="paragraph">
              <wp:posOffset>83185</wp:posOffset>
            </wp:positionV>
            <wp:extent cx="5881370" cy="2906395"/>
            <wp:effectExtent l="0" t="0" r="508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2906395"/>
                    </a:xfrm>
                    <a:prstGeom prst="rect">
                      <a:avLst/>
                    </a:prstGeom>
                    <a:noFill/>
                    <a:ln>
                      <a:noFill/>
                    </a:ln>
                  </pic:spPr>
                </pic:pic>
              </a:graphicData>
            </a:graphic>
          </wp:anchor>
        </w:drawing>
      </w:r>
    </w:p>
    <w:p w14:paraId="674C72D5" w14:textId="59E497CC" w:rsidR="00557EED" w:rsidRPr="00E2373F" w:rsidRDefault="00557EED" w:rsidP="00667BC9">
      <w:pPr>
        <w:spacing w:after="0" w:line="240" w:lineRule="auto"/>
        <w:jc w:val="center"/>
        <w:rPr>
          <w:rFonts w:ascii="Times New Roman" w:hAnsi="Times New Roman"/>
          <w:sz w:val="24"/>
          <w:szCs w:val="24"/>
        </w:rPr>
      </w:pPr>
    </w:p>
    <w:p w14:paraId="3D583461" w14:textId="49F0C068" w:rsidR="00557EED" w:rsidRDefault="00557EED" w:rsidP="00667BC9">
      <w:pPr>
        <w:spacing w:after="0" w:line="240" w:lineRule="auto"/>
        <w:jc w:val="center"/>
        <w:rPr>
          <w:rFonts w:ascii="Times New Roman" w:hAnsi="Times New Roman"/>
          <w:sz w:val="24"/>
          <w:szCs w:val="24"/>
        </w:rPr>
      </w:pPr>
    </w:p>
    <w:p w14:paraId="341227E7" w14:textId="70151CD1" w:rsidR="00A95B15" w:rsidRDefault="00A95B15" w:rsidP="00667BC9">
      <w:pPr>
        <w:spacing w:after="0" w:line="240" w:lineRule="auto"/>
        <w:jc w:val="center"/>
        <w:rPr>
          <w:rFonts w:ascii="Times New Roman" w:hAnsi="Times New Roman"/>
          <w:sz w:val="24"/>
          <w:szCs w:val="24"/>
        </w:rPr>
      </w:pPr>
    </w:p>
    <w:p w14:paraId="74FF817F" w14:textId="0917E3D8" w:rsidR="00A95B15" w:rsidRDefault="00A95B15" w:rsidP="00667BC9">
      <w:pPr>
        <w:spacing w:after="0" w:line="240" w:lineRule="auto"/>
        <w:jc w:val="center"/>
        <w:rPr>
          <w:rFonts w:ascii="Times New Roman" w:hAnsi="Times New Roman"/>
          <w:sz w:val="24"/>
          <w:szCs w:val="24"/>
        </w:rPr>
      </w:pPr>
    </w:p>
    <w:p w14:paraId="748C8EF0" w14:textId="4F54733D" w:rsidR="00A95B15" w:rsidRDefault="00A95B15" w:rsidP="00667BC9">
      <w:pPr>
        <w:spacing w:after="0" w:line="240" w:lineRule="auto"/>
        <w:jc w:val="center"/>
        <w:rPr>
          <w:rFonts w:ascii="Times New Roman" w:hAnsi="Times New Roman"/>
          <w:sz w:val="24"/>
          <w:szCs w:val="24"/>
        </w:rPr>
      </w:pPr>
    </w:p>
    <w:p w14:paraId="75D5D448" w14:textId="273DC84B" w:rsidR="00A95B15" w:rsidRDefault="00A95B15" w:rsidP="00667BC9">
      <w:pPr>
        <w:spacing w:after="0" w:line="240" w:lineRule="auto"/>
        <w:jc w:val="center"/>
        <w:rPr>
          <w:rFonts w:ascii="Times New Roman" w:hAnsi="Times New Roman"/>
          <w:sz w:val="24"/>
          <w:szCs w:val="24"/>
        </w:rPr>
      </w:pPr>
    </w:p>
    <w:p w14:paraId="08399BB9" w14:textId="2517BDB5" w:rsidR="00A95B15" w:rsidRDefault="00A95B15" w:rsidP="00667BC9">
      <w:pPr>
        <w:spacing w:after="0" w:line="240" w:lineRule="auto"/>
        <w:jc w:val="center"/>
        <w:rPr>
          <w:rFonts w:ascii="Times New Roman" w:hAnsi="Times New Roman"/>
          <w:sz w:val="24"/>
          <w:szCs w:val="24"/>
        </w:rPr>
      </w:pPr>
    </w:p>
    <w:p w14:paraId="1AD596C2" w14:textId="0F054754" w:rsidR="00A95B15" w:rsidRDefault="00A95B15" w:rsidP="00667BC9">
      <w:pPr>
        <w:spacing w:after="0" w:line="240" w:lineRule="auto"/>
        <w:jc w:val="center"/>
        <w:rPr>
          <w:rFonts w:ascii="Times New Roman" w:hAnsi="Times New Roman"/>
          <w:sz w:val="24"/>
          <w:szCs w:val="24"/>
        </w:rPr>
      </w:pPr>
    </w:p>
    <w:p w14:paraId="588E137E" w14:textId="5D8EA888" w:rsidR="00A95B15" w:rsidRDefault="00A95B15" w:rsidP="00667BC9">
      <w:pPr>
        <w:spacing w:after="0" w:line="240" w:lineRule="auto"/>
        <w:jc w:val="center"/>
        <w:rPr>
          <w:rFonts w:ascii="Times New Roman" w:hAnsi="Times New Roman"/>
          <w:sz w:val="24"/>
          <w:szCs w:val="24"/>
        </w:rPr>
      </w:pPr>
    </w:p>
    <w:p w14:paraId="44E4487E" w14:textId="04BDD082" w:rsidR="00A95B15" w:rsidRDefault="00A95B15" w:rsidP="00667BC9">
      <w:pPr>
        <w:spacing w:after="0" w:line="240" w:lineRule="auto"/>
        <w:jc w:val="center"/>
        <w:rPr>
          <w:rFonts w:ascii="Times New Roman" w:hAnsi="Times New Roman"/>
          <w:sz w:val="24"/>
          <w:szCs w:val="24"/>
        </w:rPr>
      </w:pPr>
    </w:p>
    <w:p w14:paraId="00F4D0B0" w14:textId="4AF6B206" w:rsidR="00A95B15" w:rsidRDefault="00A95B15" w:rsidP="00667BC9">
      <w:pPr>
        <w:spacing w:after="0" w:line="240" w:lineRule="auto"/>
        <w:jc w:val="center"/>
        <w:rPr>
          <w:rFonts w:ascii="Times New Roman" w:hAnsi="Times New Roman"/>
          <w:sz w:val="24"/>
          <w:szCs w:val="24"/>
        </w:rPr>
      </w:pPr>
    </w:p>
    <w:p w14:paraId="751871F6" w14:textId="45D8D13E" w:rsidR="00A95B15" w:rsidRDefault="00A95B15" w:rsidP="00667BC9">
      <w:pPr>
        <w:spacing w:after="0" w:line="240" w:lineRule="auto"/>
        <w:jc w:val="center"/>
        <w:rPr>
          <w:rFonts w:ascii="Times New Roman" w:hAnsi="Times New Roman"/>
          <w:sz w:val="24"/>
          <w:szCs w:val="24"/>
        </w:rPr>
      </w:pPr>
    </w:p>
    <w:p w14:paraId="29E02080" w14:textId="164B9456" w:rsidR="00A95B15" w:rsidRDefault="00A95B15" w:rsidP="00667BC9">
      <w:pPr>
        <w:spacing w:after="0" w:line="240" w:lineRule="auto"/>
        <w:jc w:val="center"/>
        <w:rPr>
          <w:rFonts w:ascii="Times New Roman" w:hAnsi="Times New Roman"/>
          <w:sz w:val="24"/>
          <w:szCs w:val="24"/>
        </w:rPr>
      </w:pPr>
    </w:p>
    <w:p w14:paraId="6C8665CE" w14:textId="7AFC835F" w:rsidR="00A95B15" w:rsidRDefault="00A95B15" w:rsidP="00667BC9">
      <w:pPr>
        <w:spacing w:after="0" w:line="240" w:lineRule="auto"/>
        <w:jc w:val="center"/>
        <w:rPr>
          <w:rFonts w:ascii="Times New Roman" w:hAnsi="Times New Roman"/>
          <w:sz w:val="24"/>
          <w:szCs w:val="24"/>
        </w:rPr>
      </w:pPr>
    </w:p>
    <w:p w14:paraId="4448D750" w14:textId="3978DF05" w:rsidR="00A95B15" w:rsidRDefault="00A95B15" w:rsidP="00667BC9">
      <w:pPr>
        <w:spacing w:after="0" w:line="240" w:lineRule="auto"/>
        <w:jc w:val="center"/>
        <w:rPr>
          <w:rFonts w:ascii="Times New Roman" w:hAnsi="Times New Roman"/>
          <w:sz w:val="24"/>
          <w:szCs w:val="24"/>
        </w:rPr>
      </w:pPr>
    </w:p>
    <w:p w14:paraId="2ED064EF" w14:textId="77777777" w:rsidR="00010D7F" w:rsidRDefault="00010D7F" w:rsidP="00B108D6">
      <w:pPr>
        <w:spacing w:after="0" w:line="240" w:lineRule="auto"/>
        <w:rPr>
          <w:rFonts w:ascii="Times New Roman" w:hAnsi="Times New Roman"/>
          <w:b/>
          <w:bCs/>
          <w:sz w:val="24"/>
          <w:szCs w:val="24"/>
        </w:rPr>
      </w:pPr>
    </w:p>
    <w:p w14:paraId="67FF1C6B" w14:textId="77777777" w:rsidR="00010D7F" w:rsidRDefault="00010D7F" w:rsidP="00B108D6">
      <w:pPr>
        <w:spacing w:after="0" w:line="240" w:lineRule="auto"/>
        <w:rPr>
          <w:rFonts w:ascii="Times New Roman" w:hAnsi="Times New Roman"/>
          <w:b/>
          <w:bCs/>
          <w:sz w:val="24"/>
          <w:szCs w:val="24"/>
        </w:rPr>
      </w:pPr>
    </w:p>
    <w:p w14:paraId="5E83687D" w14:textId="02184851" w:rsidR="0030689C" w:rsidRPr="00E00611" w:rsidRDefault="00E00611" w:rsidP="00B108D6">
      <w:pPr>
        <w:spacing w:after="0" w:line="240" w:lineRule="auto"/>
        <w:rPr>
          <w:rFonts w:ascii="Times New Roman" w:hAnsi="Times New Roman"/>
          <w:b/>
          <w:bCs/>
          <w:sz w:val="24"/>
          <w:szCs w:val="24"/>
        </w:rPr>
      </w:pPr>
      <w:r w:rsidRPr="00E00611">
        <w:rPr>
          <w:rFonts w:ascii="Times New Roman" w:hAnsi="Times New Roman"/>
          <w:b/>
          <w:bCs/>
          <w:sz w:val="24"/>
          <w:szCs w:val="24"/>
        </w:rPr>
        <w:t>Deterioro del valor de las propiedades de inversión</w:t>
      </w:r>
    </w:p>
    <w:p w14:paraId="60262E61" w14:textId="77777777" w:rsidR="00E00611" w:rsidRDefault="00E00611" w:rsidP="00B108D6">
      <w:pPr>
        <w:spacing w:after="0" w:line="240" w:lineRule="auto"/>
        <w:jc w:val="both"/>
        <w:rPr>
          <w:rFonts w:ascii="Times New Roman" w:hAnsi="Times New Roman"/>
          <w:sz w:val="24"/>
          <w:szCs w:val="24"/>
        </w:rPr>
      </w:pPr>
    </w:p>
    <w:p w14:paraId="328B1725" w14:textId="72656588" w:rsidR="0030689C" w:rsidRDefault="00B108D6" w:rsidP="00B108D6">
      <w:pPr>
        <w:spacing w:after="0" w:line="240" w:lineRule="auto"/>
        <w:jc w:val="both"/>
        <w:rPr>
          <w:rFonts w:ascii="Times New Roman" w:hAnsi="Times New Roman"/>
          <w:sz w:val="24"/>
          <w:szCs w:val="24"/>
        </w:rPr>
      </w:pPr>
      <w:r w:rsidRPr="00B108D6">
        <w:rPr>
          <w:rFonts w:ascii="Times New Roman" w:hAnsi="Times New Roman"/>
          <w:sz w:val="24"/>
          <w:szCs w:val="24"/>
        </w:rPr>
        <w:t xml:space="preserve">En el periodo contable que finalizó el </w:t>
      </w:r>
      <w:r w:rsidR="00E66458">
        <w:rPr>
          <w:rFonts w:ascii="Times New Roman" w:hAnsi="Times New Roman"/>
          <w:sz w:val="24"/>
          <w:szCs w:val="24"/>
        </w:rPr>
        <w:t>31 marzo de 2022</w:t>
      </w:r>
      <w:r w:rsidR="00154A76">
        <w:rPr>
          <w:rFonts w:ascii="Times New Roman" w:hAnsi="Times New Roman"/>
          <w:sz w:val="24"/>
          <w:szCs w:val="24"/>
        </w:rPr>
        <w:t xml:space="preserve"> </w:t>
      </w:r>
      <w:r w:rsidRPr="00B108D6">
        <w:rPr>
          <w:rFonts w:ascii="Times New Roman" w:hAnsi="Times New Roman"/>
          <w:sz w:val="24"/>
          <w:szCs w:val="24"/>
        </w:rPr>
        <w:t>no se identificaron evidencias de deterioro del valor de las propiedades de inversión.</w:t>
      </w:r>
    </w:p>
    <w:p w14:paraId="56F46B84" w14:textId="77777777" w:rsidR="00DF6AE3" w:rsidRDefault="00DF6AE3" w:rsidP="00B108D6">
      <w:pPr>
        <w:spacing w:after="0" w:line="240" w:lineRule="auto"/>
        <w:jc w:val="both"/>
        <w:rPr>
          <w:rFonts w:ascii="Times New Roman" w:hAnsi="Times New Roman"/>
          <w:sz w:val="24"/>
          <w:szCs w:val="24"/>
        </w:rPr>
      </w:pPr>
    </w:p>
    <w:p w14:paraId="571FF263" w14:textId="07CFD5CC" w:rsidR="000B691F" w:rsidRPr="00E8310C" w:rsidRDefault="004D1BAD" w:rsidP="00425DA9">
      <w:pPr>
        <w:pStyle w:val="Ttulo2"/>
        <w:numPr>
          <w:ilvl w:val="1"/>
          <w:numId w:val="11"/>
        </w:numPr>
        <w:ind w:left="567" w:hanging="567"/>
        <w:rPr>
          <w:szCs w:val="22"/>
        </w:rPr>
      </w:pPr>
      <w:bookmarkStart w:id="40" w:name="_Toc99455324"/>
      <w:r>
        <w:rPr>
          <w:szCs w:val="22"/>
        </w:rPr>
        <w:lastRenderedPageBreak/>
        <w:t>Revelaciones adicionales</w:t>
      </w:r>
      <w:bookmarkEnd w:id="40"/>
    </w:p>
    <w:p w14:paraId="7FA2935B" w14:textId="25788AF0" w:rsidR="000B691F" w:rsidRPr="00E2373F" w:rsidRDefault="00517C63" w:rsidP="000B691F">
      <w:pPr>
        <w:spacing w:after="0" w:line="240" w:lineRule="auto"/>
        <w:ind w:left="720"/>
        <w:jc w:val="both"/>
        <w:rPr>
          <w:rFonts w:ascii="Times New Roman" w:hAnsi="Times New Roman"/>
          <w:sz w:val="24"/>
          <w:szCs w:val="24"/>
        </w:rPr>
      </w:pPr>
      <w:r w:rsidRPr="00517C63">
        <w:rPr>
          <w:noProof/>
        </w:rPr>
        <w:drawing>
          <wp:anchor distT="0" distB="0" distL="114300" distR="114300" simplePos="0" relativeHeight="252176384" behindDoc="1" locked="0" layoutInCell="1" allowOverlap="1" wp14:anchorId="2F431AA4" wp14:editId="522CCF1A">
            <wp:simplePos x="0" y="0"/>
            <wp:positionH relativeFrom="column">
              <wp:posOffset>-51435</wp:posOffset>
            </wp:positionH>
            <wp:positionV relativeFrom="paragraph">
              <wp:posOffset>129540</wp:posOffset>
            </wp:positionV>
            <wp:extent cx="5791835" cy="1247140"/>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835" cy="1247140"/>
                    </a:xfrm>
                    <a:prstGeom prst="rect">
                      <a:avLst/>
                    </a:prstGeom>
                    <a:noFill/>
                    <a:ln>
                      <a:noFill/>
                    </a:ln>
                  </pic:spPr>
                </pic:pic>
              </a:graphicData>
            </a:graphic>
            <wp14:sizeRelV relativeFrom="margin">
              <wp14:pctHeight>0</wp14:pctHeight>
            </wp14:sizeRelV>
          </wp:anchor>
        </w:drawing>
      </w:r>
    </w:p>
    <w:p w14:paraId="6A4A3C47" w14:textId="145C6487" w:rsidR="000B691F" w:rsidRDefault="000B691F" w:rsidP="000B691F">
      <w:pPr>
        <w:spacing w:after="0" w:line="240" w:lineRule="auto"/>
        <w:jc w:val="center"/>
        <w:rPr>
          <w:rFonts w:ascii="Times New Roman" w:hAnsi="Times New Roman"/>
          <w:sz w:val="24"/>
          <w:szCs w:val="24"/>
        </w:rPr>
      </w:pPr>
    </w:p>
    <w:p w14:paraId="5316D305" w14:textId="56669D00" w:rsidR="000B691F" w:rsidRDefault="000B691F" w:rsidP="000B691F">
      <w:pPr>
        <w:spacing w:after="0" w:line="240" w:lineRule="auto"/>
        <w:jc w:val="both"/>
        <w:rPr>
          <w:rFonts w:ascii="Times New Roman" w:hAnsi="Times New Roman"/>
          <w:sz w:val="24"/>
          <w:szCs w:val="24"/>
        </w:rPr>
      </w:pPr>
    </w:p>
    <w:p w14:paraId="44D2E700" w14:textId="77777777" w:rsidR="005B481E" w:rsidRDefault="005B481E" w:rsidP="005B5001">
      <w:pPr>
        <w:spacing w:after="0" w:line="240" w:lineRule="auto"/>
        <w:jc w:val="both"/>
        <w:rPr>
          <w:rFonts w:ascii="Times New Roman" w:hAnsi="Times New Roman"/>
          <w:sz w:val="24"/>
          <w:szCs w:val="24"/>
        </w:rPr>
      </w:pPr>
    </w:p>
    <w:p w14:paraId="6E7AFA6A" w14:textId="77777777" w:rsidR="005B481E" w:rsidRDefault="005B481E" w:rsidP="005B5001">
      <w:pPr>
        <w:spacing w:after="0" w:line="240" w:lineRule="auto"/>
        <w:jc w:val="both"/>
        <w:rPr>
          <w:rFonts w:ascii="Times New Roman" w:hAnsi="Times New Roman"/>
          <w:sz w:val="24"/>
          <w:szCs w:val="24"/>
        </w:rPr>
      </w:pPr>
    </w:p>
    <w:p w14:paraId="48B23125" w14:textId="77777777" w:rsidR="005B481E" w:rsidRDefault="005B481E" w:rsidP="005B5001">
      <w:pPr>
        <w:spacing w:after="0" w:line="240" w:lineRule="auto"/>
        <w:jc w:val="both"/>
        <w:rPr>
          <w:rFonts w:ascii="Times New Roman" w:hAnsi="Times New Roman"/>
          <w:sz w:val="24"/>
          <w:szCs w:val="24"/>
        </w:rPr>
      </w:pPr>
    </w:p>
    <w:p w14:paraId="5F522960" w14:textId="77777777" w:rsidR="005B481E" w:rsidRDefault="005B481E" w:rsidP="005B5001">
      <w:pPr>
        <w:spacing w:after="0" w:line="240" w:lineRule="auto"/>
        <w:jc w:val="both"/>
        <w:rPr>
          <w:rFonts w:ascii="Times New Roman" w:hAnsi="Times New Roman"/>
          <w:sz w:val="24"/>
          <w:szCs w:val="24"/>
        </w:rPr>
      </w:pPr>
    </w:p>
    <w:p w14:paraId="66ED5CF6" w14:textId="77777777" w:rsidR="00010D7F" w:rsidRDefault="00010D7F" w:rsidP="005B5001">
      <w:pPr>
        <w:spacing w:after="0" w:line="240" w:lineRule="auto"/>
        <w:jc w:val="both"/>
        <w:rPr>
          <w:rFonts w:ascii="Times New Roman" w:hAnsi="Times New Roman"/>
          <w:sz w:val="24"/>
          <w:szCs w:val="24"/>
        </w:rPr>
      </w:pPr>
    </w:p>
    <w:p w14:paraId="684DFF4F" w14:textId="77777777" w:rsidR="00383B1B" w:rsidRDefault="00383B1B" w:rsidP="005B5001">
      <w:pPr>
        <w:spacing w:after="0" w:line="240" w:lineRule="auto"/>
        <w:jc w:val="both"/>
        <w:rPr>
          <w:rFonts w:ascii="Times New Roman" w:hAnsi="Times New Roman"/>
          <w:sz w:val="24"/>
          <w:szCs w:val="24"/>
        </w:rPr>
      </w:pPr>
    </w:p>
    <w:p w14:paraId="7B934075" w14:textId="383870D9" w:rsidR="00857D37" w:rsidRDefault="00A74522" w:rsidP="005B5001">
      <w:pPr>
        <w:spacing w:after="0" w:line="240" w:lineRule="auto"/>
        <w:jc w:val="both"/>
        <w:rPr>
          <w:rFonts w:ascii="Times New Roman" w:hAnsi="Times New Roman"/>
          <w:sz w:val="24"/>
          <w:szCs w:val="24"/>
        </w:rPr>
      </w:pPr>
      <w:r>
        <w:rPr>
          <w:rFonts w:ascii="Times New Roman" w:hAnsi="Times New Roman"/>
          <w:sz w:val="24"/>
          <w:szCs w:val="24"/>
        </w:rPr>
        <w:t>L</w:t>
      </w:r>
      <w:r w:rsidR="00103F69" w:rsidRPr="00103F69">
        <w:rPr>
          <w:rFonts w:ascii="Times New Roman" w:hAnsi="Times New Roman"/>
          <w:sz w:val="24"/>
          <w:szCs w:val="24"/>
        </w:rPr>
        <w:t xml:space="preserve">a entidad </w:t>
      </w:r>
      <w:r w:rsidR="0058202C">
        <w:rPr>
          <w:rFonts w:ascii="Times New Roman" w:hAnsi="Times New Roman"/>
          <w:sz w:val="24"/>
          <w:szCs w:val="24"/>
        </w:rPr>
        <w:t>bajo el contrato No. 459-2017 presentaba</w:t>
      </w:r>
      <w:r>
        <w:rPr>
          <w:rFonts w:ascii="Times New Roman" w:hAnsi="Times New Roman"/>
          <w:sz w:val="24"/>
          <w:szCs w:val="24"/>
        </w:rPr>
        <w:t xml:space="preserve"> </w:t>
      </w:r>
      <w:r w:rsidRPr="00103F69">
        <w:rPr>
          <w:rFonts w:ascii="Times New Roman" w:hAnsi="Times New Roman"/>
          <w:sz w:val="24"/>
          <w:szCs w:val="24"/>
        </w:rPr>
        <w:t xml:space="preserve">un arrendamiento </w:t>
      </w:r>
      <w:r w:rsidR="0058202C">
        <w:rPr>
          <w:rFonts w:ascii="Times New Roman" w:hAnsi="Times New Roman"/>
          <w:sz w:val="24"/>
          <w:szCs w:val="24"/>
        </w:rPr>
        <w:t xml:space="preserve">operativo </w:t>
      </w:r>
      <w:r>
        <w:rPr>
          <w:rFonts w:ascii="Times New Roman" w:hAnsi="Times New Roman"/>
          <w:sz w:val="24"/>
          <w:szCs w:val="24"/>
        </w:rPr>
        <w:t>de una propiedad de inversión</w:t>
      </w:r>
      <w:r w:rsidR="0058202C">
        <w:rPr>
          <w:rFonts w:ascii="Times New Roman" w:hAnsi="Times New Roman"/>
          <w:sz w:val="24"/>
          <w:szCs w:val="24"/>
        </w:rPr>
        <w:t xml:space="preserve"> </w:t>
      </w:r>
      <w:r w:rsidR="009076FF">
        <w:rPr>
          <w:rFonts w:ascii="Times New Roman" w:hAnsi="Times New Roman"/>
          <w:sz w:val="24"/>
          <w:szCs w:val="24"/>
        </w:rPr>
        <w:t xml:space="preserve">con la empresa Opera Inversiones Urbanas, </w:t>
      </w:r>
      <w:r w:rsidR="00103F69" w:rsidRPr="00103F69">
        <w:rPr>
          <w:rFonts w:ascii="Times New Roman" w:hAnsi="Times New Roman"/>
          <w:sz w:val="24"/>
          <w:szCs w:val="24"/>
        </w:rPr>
        <w:t xml:space="preserve">correspondiente a </w:t>
      </w:r>
      <w:r w:rsidR="00344C04">
        <w:rPr>
          <w:rFonts w:ascii="Times New Roman" w:hAnsi="Times New Roman"/>
          <w:sz w:val="24"/>
          <w:szCs w:val="24"/>
        </w:rPr>
        <w:t xml:space="preserve">un lote </w:t>
      </w:r>
      <w:r w:rsidR="00103F69" w:rsidRPr="00103F69">
        <w:rPr>
          <w:rFonts w:ascii="Times New Roman" w:hAnsi="Times New Roman"/>
          <w:sz w:val="24"/>
          <w:szCs w:val="24"/>
        </w:rPr>
        <w:t>que es un parqueadero ubicado en la carrera 4ª. No.17-48</w:t>
      </w:r>
      <w:r w:rsidR="00DB2E59">
        <w:rPr>
          <w:rFonts w:ascii="Times New Roman" w:hAnsi="Times New Roman"/>
          <w:sz w:val="24"/>
          <w:szCs w:val="24"/>
        </w:rPr>
        <w:t xml:space="preserve">, </w:t>
      </w:r>
      <w:r w:rsidR="00344C04">
        <w:rPr>
          <w:rFonts w:ascii="Times New Roman" w:hAnsi="Times New Roman"/>
          <w:sz w:val="24"/>
          <w:szCs w:val="24"/>
        </w:rPr>
        <w:t>su</w:t>
      </w:r>
      <w:r w:rsidR="009076FF">
        <w:rPr>
          <w:rFonts w:ascii="Times New Roman" w:hAnsi="Times New Roman"/>
          <w:sz w:val="24"/>
          <w:szCs w:val="24"/>
        </w:rPr>
        <w:t xml:space="preserve"> plazo de ejecución fue hasta el 30 de abril del 2020.</w:t>
      </w:r>
    </w:p>
    <w:p w14:paraId="087ED995" w14:textId="0A89EA04" w:rsidR="00E00611" w:rsidRDefault="00E00611" w:rsidP="007731B1">
      <w:pPr>
        <w:spacing w:after="0" w:line="240" w:lineRule="auto"/>
        <w:jc w:val="both"/>
        <w:rPr>
          <w:rFonts w:ascii="Times New Roman" w:hAnsi="Times New Roman"/>
          <w:sz w:val="24"/>
          <w:szCs w:val="24"/>
        </w:rPr>
      </w:pPr>
    </w:p>
    <w:p w14:paraId="35218748" w14:textId="76A1E67C" w:rsidR="00620498" w:rsidRPr="00E2373F" w:rsidRDefault="001A2353" w:rsidP="00073315">
      <w:pPr>
        <w:pStyle w:val="Ttulo1"/>
      </w:pPr>
      <w:bookmarkStart w:id="41" w:name="_Toc99455325"/>
      <w:r w:rsidRPr="00E2373F">
        <w:t>NOTA 1</w:t>
      </w:r>
      <w:r w:rsidR="001F0D65" w:rsidRPr="00E2373F">
        <w:t>4</w:t>
      </w:r>
      <w:r w:rsidRPr="00E2373F">
        <w:t>. ACTIVOS INTANGIBLES</w:t>
      </w:r>
      <w:bookmarkEnd w:id="41"/>
    </w:p>
    <w:p w14:paraId="54A7522D" w14:textId="77777777" w:rsidR="00206B30" w:rsidRPr="00E2373F" w:rsidRDefault="00206B30" w:rsidP="00390002">
      <w:pPr>
        <w:spacing w:after="0" w:line="240" w:lineRule="auto"/>
        <w:jc w:val="both"/>
        <w:rPr>
          <w:rFonts w:ascii="Times New Roman" w:hAnsi="Times New Roman"/>
          <w:b/>
          <w:sz w:val="24"/>
          <w:szCs w:val="24"/>
        </w:rPr>
      </w:pPr>
    </w:p>
    <w:p w14:paraId="320866D5" w14:textId="6CA4D226" w:rsidR="00206B30" w:rsidRPr="0015632C" w:rsidRDefault="00206B30" w:rsidP="0015632C">
      <w:pPr>
        <w:pStyle w:val="Ttulo2"/>
        <w:numPr>
          <w:ilvl w:val="0"/>
          <w:numId w:val="0"/>
        </w:numPr>
        <w:rPr>
          <w:szCs w:val="22"/>
        </w:rPr>
      </w:pPr>
      <w:bookmarkStart w:id="42" w:name="_Toc99455326"/>
      <w:r w:rsidRPr="0015632C">
        <w:rPr>
          <w:szCs w:val="22"/>
        </w:rPr>
        <w:t>Composición</w:t>
      </w:r>
      <w:bookmarkEnd w:id="42"/>
    </w:p>
    <w:p w14:paraId="2A686383" w14:textId="77777777" w:rsidR="00390002" w:rsidRDefault="00390002" w:rsidP="0025112B">
      <w:pPr>
        <w:spacing w:after="0" w:line="240" w:lineRule="auto"/>
        <w:jc w:val="both"/>
        <w:rPr>
          <w:rFonts w:ascii="Times New Roman" w:hAnsi="Times New Roman"/>
          <w:sz w:val="24"/>
          <w:szCs w:val="24"/>
        </w:rPr>
      </w:pPr>
    </w:p>
    <w:p w14:paraId="5718131C" w14:textId="331CBF85" w:rsidR="00206B30" w:rsidRDefault="00E441C4" w:rsidP="0025112B">
      <w:pPr>
        <w:spacing w:after="0" w:line="240" w:lineRule="auto"/>
        <w:jc w:val="both"/>
        <w:rPr>
          <w:rFonts w:ascii="Times New Roman" w:hAnsi="Times New Roman"/>
          <w:sz w:val="24"/>
          <w:szCs w:val="24"/>
        </w:rPr>
      </w:pPr>
      <w:r w:rsidRPr="00E441C4">
        <w:rPr>
          <w:rFonts w:ascii="Times New Roman" w:hAnsi="Times New Roman"/>
          <w:sz w:val="24"/>
          <w:szCs w:val="24"/>
        </w:rPr>
        <w:t xml:space="preserve">La desagregación de los activos intangibles presentadas en el estado de situación financiera al </w:t>
      </w:r>
      <w:r w:rsidR="00432519">
        <w:rPr>
          <w:rFonts w:ascii="Times New Roman" w:hAnsi="Times New Roman"/>
          <w:sz w:val="24"/>
          <w:szCs w:val="24"/>
        </w:rPr>
        <w:t>31 de marzo de 2022 y 31 de marzo de 2021</w:t>
      </w:r>
      <w:r w:rsidR="003F25DC">
        <w:rPr>
          <w:rFonts w:ascii="Times New Roman" w:hAnsi="Times New Roman"/>
          <w:sz w:val="24"/>
          <w:szCs w:val="24"/>
        </w:rPr>
        <w:t xml:space="preserve"> </w:t>
      </w:r>
      <w:r w:rsidRPr="00E441C4">
        <w:rPr>
          <w:rFonts w:ascii="Times New Roman" w:hAnsi="Times New Roman"/>
          <w:sz w:val="24"/>
          <w:szCs w:val="24"/>
        </w:rPr>
        <w:t>es la siguiente:</w:t>
      </w:r>
    </w:p>
    <w:p w14:paraId="41293CCD" w14:textId="6284B496" w:rsidR="00F4759D" w:rsidRDefault="00322E9E" w:rsidP="0025112B">
      <w:pPr>
        <w:spacing w:after="0" w:line="240" w:lineRule="auto"/>
        <w:jc w:val="both"/>
        <w:rPr>
          <w:rFonts w:ascii="Times New Roman" w:hAnsi="Times New Roman"/>
          <w:sz w:val="24"/>
          <w:szCs w:val="24"/>
        </w:rPr>
      </w:pPr>
      <w:r w:rsidRPr="00322E9E">
        <w:rPr>
          <w:noProof/>
        </w:rPr>
        <w:drawing>
          <wp:anchor distT="0" distB="0" distL="114300" distR="114300" simplePos="0" relativeHeight="252718080" behindDoc="1" locked="0" layoutInCell="1" allowOverlap="1" wp14:anchorId="7C96B4A4" wp14:editId="76E06151">
            <wp:simplePos x="0" y="0"/>
            <wp:positionH relativeFrom="column">
              <wp:posOffset>0</wp:posOffset>
            </wp:positionH>
            <wp:positionV relativeFrom="paragraph">
              <wp:posOffset>107950</wp:posOffset>
            </wp:positionV>
            <wp:extent cx="5881370" cy="898525"/>
            <wp:effectExtent l="0" t="0" r="508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1370" cy="898525"/>
                    </a:xfrm>
                    <a:prstGeom prst="rect">
                      <a:avLst/>
                    </a:prstGeom>
                    <a:noFill/>
                    <a:ln>
                      <a:noFill/>
                    </a:ln>
                  </pic:spPr>
                </pic:pic>
              </a:graphicData>
            </a:graphic>
          </wp:anchor>
        </w:drawing>
      </w:r>
    </w:p>
    <w:p w14:paraId="11D68BA9" w14:textId="4E03E858" w:rsidR="00BD1F9B" w:rsidRDefault="00BD1F9B" w:rsidP="0025112B">
      <w:pPr>
        <w:spacing w:after="0" w:line="240" w:lineRule="auto"/>
        <w:jc w:val="both"/>
        <w:rPr>
          <w:rFonts w:ascii="Times New Roman" w:hAnsi="Times New Roman"/>
          <w:sz w:val="24"/>
          <w:szCs w:val="24"/>
        </w:rPr>
      </w:pPr>
    </w:p>
    <w:p w14:paraId="0E21B6B1" w14:textId="4C7A5A98" w:rsidR="00010D7F" w:rsidRDefault="00010D7F" w:rsidP="0025112B">
      <w:pPr>
        <w:spacing w:after="0" w:line="240" w:lineRule="auto"/>
        <w:jc w:val="both"/>
        <w:rPr>
          <w:rFonts w:ascii="Times New Roman" w:hAnsi="Times New Roman"/>
          <w:sz w:val="24"/>
          <w:szCs w:val="24"/>
        </w:rPr>
      </w:pPr>
    </w:p>
    <w:p w14:paraId="17BA50AF" w14:textId="3E8E0BD2" w:rsidR="00846125" w:rsidRDefault="00846125" w:rsidP="0025112B">
      <w:pPr>
        <w:spacing w:after="0" w:line="240" w:lineRule="auto"/>
        <w:jc w:val="both"/>
        <w:rPr>
          <w:rFonts w:ascii="Times New Roman" w:hAnsi="Times New Roman"/>
          <w:sz w:val="24"/>
          <w:szCs w:val="24"/>
        </w:rPr>
      </w:pPr>
    </w:p>
    <w:p w14:paraId="4AA65EA9" w14:textId="670E6E69" w:rsidR="00846125" w:rsidRDefault="00846125" w:rsidP="0025112B">
      <w:pPr>
        <w:spacing w:after="0" w:line="240" w:lineRule="auto"/>
        <w:jc w:val="both"/>
        <w:rPr>
          <w:rFonts w:ascii="Times New Roman" w:hAnsi="Times New Roman"/>
          <w:sz w:val="24"/>
          <w:szCs w:val="24"/>
        </w:rPr>
      </w:pPr>
    </w:p>
    <w:p w14:paraId="35E9E7FC" w14:textId="4966FC85" w:rsidR="00846125" w:rsidRDefault="00846125" w:rsidP="0025112B">
      <w:pPr>
        <w:spacing w:after="0" w:line="240" w:lineRule="auto"/>
        <w:jc w:val="both"/>
        <w:rPr>
          <w:rFonts w:ascii="Times New Roman" w:hAnsi="Times New Roman"/>
          <w:sz w:val="24"/>
          <w:szCs w:val="24"/>
        </w:rPr>
      </w:pPr>
    </w:p>
    <w:p w14:paraId="33A6B2D1" w14:textId="27AD75C1" w:rsidR="00111E78" w:rsidRPr="00111E78" w:rsidRDefault="00111E78" w:rsidP="007731B1">
      <w:pPr>
        <w:tabs>
          <w:tab w:val="left" w:pos="8080"/>
        </w:tabs>
        <w:suppressAutoHyphens/>
        <w:autoSpaceDE w:val="0"/>
        <w:autoSpaceDN w:val="0"/>
        <w:adjustRightInd w:val="0"/>
        <w:spacing w:after="0" w:line="240" w:lineRule="auto"/>
        <w:ind w:right="49"/>
        <w:jc w:val="both"/>
        <w:rPr>
          <w:rFonts w:ascii="Times New Roman" w:hAnsi="Times New Roman"/>
          <w:bCs/>
          <w:sz w:val="24"/>
          <w:szCs w:val="24"/>
          <w:lang w:eastAsia="es-CO"/>
        </w:rPr>
      </w:pPr>
      <w:r w:rsidRPr="00111E78">
        <w:rPr>
          <w:rFonts w:ascii="Times New Roman" w:hAnsi="Times New Roman"/>
          <w:bCs/>
          <w:sz w:val="24"/>
          <w:szCs w:val="24"/>
          <w:lang w:eastAsia="es-CO"/>
        </w:rPr>
        <w:t>Bajo este rubro se clasifican los activos intangibles representados por el reconocimiento</w:t>
      </w:r>
      <w:r w:rsidR="00010D7F">
        <w:rPr>
          <w:rFonts w:ascii="Times New Roman" w:hAnsi="Times New Roman"/>
          <w:bCs/>
          <w:sz w:val="24"/>
          <w:szCs w:val="24"/>
          <w:lang w:eastAsia="es-CO"/>
        </w:rPr>
        <w:t xml:space="preserve"> </w:t>
      </w:r>
      <w:r w:rsidRPr="00111E78">
        <w:rPr>
          <w:rFonts w:ascii="Times New Roman" w:hAnsi="Times New Roman"/>
          <w:bCs/>
          <w:sz w:val="24"/>
          <w:szCs w:val="24"/>
          <w:lang w:eastAsia="es-CO"/>
        </w:rPr>
        <w:t>de otros intangibles (Banco de Ítems: Saber 3, 5, 9, Saber 11, Saber Pro y Genéricas).</w:t>
      </w:r>
    </w:p>
    <w:p w14:paraId="1D26C150" w14:textId="77777777" w:rsidR="00111E78" w:rsidRPr="00111E78" w:rsidRDefault="00111E78" w:rsidP="007731B1">
      <w:pPr>
        <w:tabs>
          <w:tab w:val="left" w:pos="8505"/>
        </w:tabs>
        <w:suppressAutoHyphens/>
        <w:autoSpaceDE w:val="0"/>
        <w:autoSpaceDN w:val="0"/>
        <w:adjustRightInd w:val="0"/>
        <w:spacing w:after="0" w:line="240" w:lineRule="auto"/>
        <w:ind w:right="570"/>
        <w:jc w:val="both"/>
        <w:rPr>
          <w:rFonts w:ascii="Times New Roman" w:hAnsi="Times New Roman"/>
          <w:bCs/>
          <w:sz w:val="24"/>
          <w:szCs w:val="24"/>
          <w:lang w:eastAsia="es-CO"/>
        </w:rPr>
      </w:pPr>
    </w:p>
    <w:p w14:paraId="72D2D52E" w14:textId="77777777" w:rsidR="00111E78" w:rsidRPr="00111E78" w:rsidRDefault="00111E78" w:rsidP="007731B1">
      <w:pPr>
        <w:tabs>
          <w:tab w:val="left" w:pos="8080"/>
        </w:tabs>
        <w:suppressAutoHyphens/>
        <w:autoSpaceDE w:val="0"/>
        <w:autoSpaceDN w:val="0"/>
        <w:adjustRightInd w:val="0"/>
        <w:spacing w:after="0" w:line="240" w:lineRule="auto"/>
        <w:ind w:right="49"/>
        <w:jc w:val="both"/>
        <w:rPr>
          <w:rFonts w:ascii="Times New Roman" w:hAnsi="Times New Roman"/>
          <w:bCs/>
          <w:sz w:val="24"/>
          <w:szCs w:val="24"/>
          <w:lang w:eastAsia="es-CO"/>
        </w:rPr>
      </w:pPr>
      <w:r w:rsidRPr="00111E78">
        <w:rPr>
          <w:rFonts w:ascii="Times New Roman" w:hAnsi="Times New Roman"/>
          <w:bCs/>
          <w:sz w:val="24"/>
          <w:szCs w:val="24"/>
          <w:lang w:eastAsia="es-CO"/>
        </w:rPr>
        <w:t>Para efectos del reconocimiento en Icfes los Activos Intangibles que cumplen con criterios de reconocimiento, bien sea porque se formaron internamente y están en la etapa de desarrollo o se adquirieron separadamente son:</w:t>
      </w:r>
    </w:p>
    <w:p w14:paraId="1D492B9E" w14:textId="77777777" w:rsidR="00111E78" w:rsidRPr="00111E78" w:rsidRDefault="00111E78" w:rsidP="007731B1">
      <w:pPr>
        <w:tabs>
          <w:tab w:val="left" w:pos="8505"/>
        </w:tabs>
        <w:suppressAutoHyphens/>
        <w:autoSpaceDE w:val="0"/>
        <w:autoSpaceDN w:val="0"/>
        <w:adjustRightInd w:val="0"/>
        <w:spacing w:after="0" w:line="240" w:lineRule="auto"/>
        <w:ind w:left="567" w:right="570"/>
        <w:jc w:val="both"/>
        <w:rPr>
          <w:rFonts w:ascii="Times New Roman" w:hAnsi="Times New Roman"/>
          <w:bCs/>
          <w:sz w:val="24"/>
          <w:szCs w:val="24"/>
          <w:lang w:eastAsia="es-CO"/>
        </w:rPr>
      </w:pPr>
    </w:p>
    <w:p w14:paraId="1B1B0113" w14:textId="77777777" w:rsidR="00111E78" w:rsidRP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t>Licencias adquiridas por la entidad</w:t>
      </w:r>
    </w:p>
    <w:p w14:paraId="760503FA" w14:textId="77777777" w:rsidR="00111E78" w:rsidRPr="00111E78" w:rsidRDefault="00111E78" w:rsidP="00B06DD4">
      <w:pPr>
        <w:tabs>
          <w:tab w:val="left" w:pos="8222"/>
        </w:tabs>
        <w:suppressAutoHyphens/>
        <w:autoSpaceDE w:val="0"/>
        <w:autoSpaceDN w:val="0"/>
        <w:adjustRightInd w:val="0"/>
        <w:spacing w:after="0" w:line="240" w:lineRule="auto"/>
        <w:ind w:left="567" w:right="49" w:hanging="283"/>
        <w:jc w:val="both"/>
        <w:rPr>
          <w:rFonts w:ascii="Times New Roman" w:hAnsi="Times New Roman"/>
          <w:bCs/>
          <w:sz w:val="24"/>
          <w:szCs w:val="24"/>
          <w:lang w:eastAsia="es-CO"/>
        </w:rPr>
      </w:pPr>
    </w:p>
    <w:p w14:paraId="39767200" w14:textId="33DAE4FE" w:rsidR="00111E78" w:rsidRP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t>Marcos de referencia: En su conformación se considera la estructura de las pruebas, parámetros generales, lineamientos y ejes temáticos sobre los que deben versar los instrumentos de aplicación y evaluación de la educación. Por tanto, son criterios fijos en el tiempo. Los beneficios económicos futuros generados por los activos se reflejarán durante su vida útil en los exámenes Saber 3, 5 y 9; Saber 11 y Saber Pro.</w:t>
      </w:r>
    </w:p>
    <w:p w14:paraId="10003E4C" w14:textId="77777777" w:rsidR="00111E78" w:rsidRPr="00111E78" w:rsidRDefault="00111E78" w:rsidP="00B06DD4">
      <w:pPr>
        <w:tabs>
          <w:tab w:val="left" w:pos="8222"/>
        </w:tabs>
        <w:suppressAutoHyphens/>
        <w:autoSpaceDE w:val="0"/>
        <w:autoSpaceDN w:val="0"/>
        <w:adjustRightInd w:val="0"/>
        <w:spacing w:after="0" w:line="240" w:lineRule="auto"/>
        <w:ind w:left="567" w:right="49" w:hanging="283"/>
        <w:jc w:val="both"/>
        <w:rPr>
          <w:rFonts w:ascii="Times New Roman" w:hAnsi="Times New Roman"/>
          <w:bCs/>
          <w:sz w:val="24"/>
          <w:szCs w:val="24"/>
          <w:lang w:eastAsia="es-CO"/>
        </w:rPr>
      </w:pPr>
    </w:p>
    <w:p w14:paraId="7462AA58" w14:textId="669D2F88" w:rsidR="00111E78" w:rsidRP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t>Banco de ítems: Construcción de ítems. Al final del proceso entran a formar el Banco de ítems, del cual se espera percibir ingresos futuros al emplearlas en la aplicación de los exámenes Saber 3, 5 y 9; Saber 11 y Saber Pro durante la vida útil de los activos.</w:t>
      </w:r>
    </w:p>
    <w:p w14:paraId="655457DE" w14:textId="1D570CA5" w:rsidR="00111E78" w:rsidRP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lastRenderedPageBreak/>
        <w:t xml:space="preserve">Sistema Misional: Implementación del nuevo sistema misional que soporta la gestión de la construcción de los instrumentos de evaluación, la gestión de la aplicación de los exámenes, la gestión de la calificación y publicación de sus resultados, así como la gestión de recaudo de los exámenes. </w:t>
      </w:r>
    </w:p>
    <w:p w14:paraId="6FBBD0CA" w14:textId="55F6FB5E" w:rsidR="00111E78" w:rsidRPr="00111E78" w:rsidRDefault="00111E78" w:rsidP="00B06DD4">
      <w:pPr>
        <w:tabs>
          <w:tab w:val="left" w:pos="8222"/>
        </w:tabs>
        <w:suppressAutoHyphens/>
        <w:autoSpaceDE w:val="0"/>
        <w:autoSpaceDN w:val="0"/>
        <w:adjustRightInd w:val="0"/>
        <w:spacing w:after="0" w:line="240" w:lineRule="auto"/>
        <w:ind w:left="567" w:right="49" w:hanging="283"/>
        <w:jc w:val="both"/>
        <w:rPr>
          <w:rFonts w:ascii="Times New Roman" w:hAnsi="Times New Roman"/>
          <w:bCs/>
          <w:sz w:val="24"/>
          <w:szCs w:val="24"/>
          <w:lang w:eastAsia="es-CO"/>
        </w:rPr>
      </w:pPr>
    </w:p>
    <w:p w14:paraId="1345B9DD" w14:textId="245AF789" w:rsidR="00111E78" w:rsidRP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t>Solución Inteligencia de Negocios Bodega de Datos: Implementación Bodega de Datos e Inteligencia de Negocios Fase 1 (BI – Business Intelligence) que permitirá almacenar la información histórica de los exámenes aplicados y se podrá explotar a través de herramientas de inteligencia de negocios.</w:t>
      </w:r>
    </w:p>
    <w:p w14:paraId="74F81D16" w14:textId="0C6A22B6" w:rsidR="00111E78" w:rsidRDefault="00111E78" w:rsidP="00B06DD4">
      <w:pPr>
        <w:tabs>
          <w:tab w:val="left" w:pos="8222"/>
        </w:tabs>
        <w:suppressAutoHyphens/>
        <w:autoSpaceDE w:val="0"/>
        <w:autoSpaceDN w:val="0"/>
        <w:adjustRightInd w:val="0"/>
        <w:spacing w:after="0" w:line="240" w:lineRule="auto"/>
        <w:ind w:left="567" w:right="49" w:hanging="283"/>
        <w:jc w:val="both"/>
        <w:rPr>
          <w:rFonts w:ascii="Times New Roman" w:hAnsi="Times New Roman"/>
          <w:bCs/>
          <w:sz w:val="24"/>
          <w:szCs w:val="24"/>
          <w:lang w:eastAsia="es-CO"/>
        </w:rPr>
      </w:pPr>
    </w:p>
    <w:p w14:paraId="6D80D1F8" w14:textId="7EC74FF7" w:rsidR="00111E78" w:rsidRDefault="00111E78" w:rsidP="00425DA9">
      <w:pPr>
        <w:numPr>
          <w:ilvl w:val="0"/>
          <w:numId w:val="28"/>
        </w:numPr>
        <w:tabs>
          <w:tab w:val="left" w:pos="8222"/>
        </w:tabs>
        <w:suppressAutoHyphens/>
        <w:autoSpaceDE w:val="0"/>
        <w:autoSpaceDN w:val="0"/>
        <w:adjustRightInd w:val="0"/>
        <w:spacing w:after="0" w:line="240" w:lineRule="auto"/>
        <w:ind w:left="567" w:right="49" w:hanging="283"/>
        <w:contextualSpacing/>
        <w:jc w:val="both"/>
        <w:rPr>
          <w:rFonts w:ascii="Times New Roman" w:hAnsi="Times New Roman"/>
          <w:bCs/>
          <w:sz w:val="24"/>
          <w:szCs w:val="24"/>
          <w:lang w:eastAsia="es-CO"/>
        </w:rPr>
      </w:pPr>
      <w:r w:rsidRPr="00111E78">
        <w:rPr>
          <w:rFonts w:ascii="Times New Roman" w:hAnsi="Times New Roman"/>
          <w:bCs/>
          <w:sz w:val="24"/>
          <w:szCs w:val="24"/>
          <w:lang w:eastAsia="es-CO"/>
        </w:rPr>
        <w:t>Solución prevención fuga de Información: Implementación de Data Lost – DLP solución de prevención de fuga de información para asegurar la confidencial de la información sensible y privada del Icfes.</w:t>
      </w:r>
    </w:p>
    <w:p w14:paraId="3F53AEB1" w14:textId="783379DA" w:rsidR="00A9068A" w:rsidRDefault="00A9068A" w:rsidP="00A9068A">
      <w:pPr>
        <w:suppressAutoHyphens/>
        <w:autoSpaceDE w:val="0"/>
        <w:autoSpaceDN w:val="0"/>
        <w:adjustRightInd w:val="0"/>
        <w:spacing w:after="0" w:line="240" w:lineRule="auto"/>
        <w:ind w:right="570"/>
        <w:contextualSpacing/>
        <w:jc w:val="both"/>
        <w:rPr>
          <w:rFonts w:ascii="Times New Roman" w:hAnsi="Times New Roman"/>
          <w:bCs/>
          <w:sz w:val="24"/>
          <w:szCs w:val="24"/>
          <w:lang w:eastAsia="es-CO"/>
        </w:rPr>
      </w:pPr>
    </w:p>
    <w:p w14:paraId="0C465E16" w14:textId="635EA84E" w:rsidR="00933888" w:rsidRDefault="00933888" w:rsidP="007731B1">
      <w:pPr>
        <w:tabs>
          <w:tab w:val="left" w:pos="8080"/>
        </w:tabs>
        <w:suppressAutoHyphens/>
        <w:autoSpaceDE w:val="0"/>
        <w:autoSpaceDN w:val="0"/>
        <w:adjustRightInd w:val="0"/>
        <w:spacing w:after="0" w:line="240" w:lineRule="auto"/>
        <w:ind w:right="49"/>
        <w:contextualSpacing/>
        <w:jc w:val="both"/>
        <w:rPr>
          <w:rFonts w:ascii="Times New Roman" w:hAnsi="Times New Roman"/>
          <w:bCs/>
          <w:sz w:val="24"/>
          <w:szCs w:val="24"/>
          <w:lang w:eastAsia="es-CO"/>
        </w:rPr>
      </w:pPr>
      <w:r w:rsidRPr="00933888">
        <w:rPr>
          <w:rFonts w:ascii="Times New Roman" w:hAnsi="Times New Roman"/>
          <w:bCs/>
          <w:sz w:val="24"/>
          <w:szCs w:val="24"/>
          <w:lang w:eastAsia="es-CO"/>
        </w:rPr>
        <w:t>La entidad utilizó el método de línea recta para el cálculo de la amortización de todos los activos intangibles, los cuales poseen una vida útil finita o definida</w:t>
      </w:r>
      <w:r>
        <w:rPr>
          <w:rFonts w:ascii="Times New Roman" w:hAnsi="Times New Roman"/>
          <w:bCs/>
          <w:sz w:val="24"/>
          <w:szCs w:val="24"/>
          <w:lang w:eastAsia="es-CO"/>
        </w:rPr>
        <w:t xml:space="preserve"> corresponden a:</w:t>
      </w:r>
    </w:p>
    <w:p w14:paraId="416BB192" w14:textId="272E752B" w:rsidR="00F4759D" w:rsidRDefault="0032221D" w:rsidP="007731B1">
      <w:pPr>
        <w:tabs>
          <w:tab w:val="left" w:pos="8080"/>
        </w:tabs>
        <w:suppressAutoHyphens/>
        <w:autoSpaceDE w:val="0"/>
        <w:autoSpaceDN w:val="0"/>
        <w:adjustRightInd w:val="0"/>
        <w:spacing w:after="0" w:line="240" w:lineRule="auto"/>
        <w:ind w:right="49"/>
        <w:contextualSpacing/>
        <w:jc w:val="both"/>
        <w:rPr>
          <w:rFonts w:ascii="Times New Roman" w:hAnsi="Times New Roman"/>
          <w:bCs/>
          <w:sz w:val="24"/>
          <w:szCs w:val="24"/>
          <w:lang w:eastAsia="es-CO"/>
        </w:rPr>
      </w:pPr>
      <w:r w:rsidRPr="00EC4B21">
        <w:rPr>
          <w:noProof/>
        </w:rPr>
        <w:drawing>
          <wp:anchor distT="0" distB="0" distL="114300" distR="114300" simplePos="0" relativeHeight="252445696" behindDoc="1" locked="0" layoutInCell="1" allowOverlap="1" wp14:anchorId="72F54923" wp14:editId="228A4340">
            <wp:simplePos x="0" y="0"/>
            <wp:positionH relativeFrom="column">
              <wp:posOffset>923925</wp:posOffset>
            </wp:positionH>
            <wp:positionV relativeFrom="paragraph">
              <wp:posOffset>122555</wp:posOffset>
            </wp:positionV>
            <wp:extent cx="4257675" cy="3133725"/>
            <wp:effectExtent l="0" t="0" r="9525"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7675" cy="3133725"/>
                    </a:xfrm>
                    <a:prstGeom prst="rect">
                      <a:avLst/>
                    </a:prstGeom>
                    <a:noFill/>
                    <a:ln>
                      <a:noFill/>
                    </a:ln>
                  </pic:spPr>
                </pic:pic>
              </a:graphicData>
            </a:graphic>
          </wp:anchor>
        </w:drawing>
      </w:r>
    </w:p>
    <w:p w14:paraId="6C87DDDA" w14:textId="7DA467C9" w:rsidR="00010D7F" w:rsidRDefault="00010D7F" w:rsidP="00933888">
      <w:pPr>
        <w:suppressAutoHyphens/>
        <w:autoSpaceDE w:val="0"/>
        <w:autoSpaceDN w:val="0"/>
        <w:adjustRightInd w:val="0"/>
        <w:spacing w:after="0" w:line="240" w:lineRule="auto"/>
        <w:ind w:right="570"/>
        <w:contextualSpacing/>
        <w:jc w:val="both"/>
        <w:rPr>
          <w:rFonts w:ascii="Times New Roman" w:hAnsi="Times New Roman"/>
          <w:bCs/>
          <w:sz w:val="24"/>
          <w:szCs w:val="24"/>
          <w:lang w:eastAsia="es-CO"/>
        </w:rPr>
      </w:pPr>
    </w:p>
    <w:p w14:paraId="343AFA69" w14:textId="02F92707" w:rsidR="00010D7F" w:rsidRDefault="00010D7F" w:rsidP="00933888">
      <w:pPr>
        <w:suppressAutoHyphens/>
        <w:autoSpaceDE w:val="0"/>
        <w:autoSpaceDN w:val="0"/>
        <w:adjustRightInd w:val="0"/>
        <w:spacing w:after="0" w:line="240" w:lineRule="auto"/>
        <w:ind w:right="570"/>
        <w:contextualSpacing/>
        <w:jc w:val="both"/>
        <w:rPr>
          <w:rFonts w:ascii="Times New Roman" w:hAnsi="Times New Roman"/>
          <w:bCs/>
          <w:sz w:val="24"/>
          <w:szCs w:val="24"/>
          <w:lang w:eastAsia="es-CO"/>
        </w:rPr>
      </w:pPr>
    </w:p>
    <w:p w14:paraId="74F16823" w14:textId="4DA07F31" w:rsidR="00846125" w:rsidRDefault="00846125" w:rsidP="00933888">
      <w:pPr>
        <w:suppressAutoHyphens/>
        <w:autoSpaceDE w:val="0"/>
        <w:autoSpaceDN w:val="0"/>
        <w:adjustRightInd w:val="0"/>
        <w:spacing w:after="0" w:line="240" w:lineRule="auto"/>
        <w:ind w:right="570"/>
        <w:contextualSpacing/>
        <w:jc w:val="both"/>
        <w:rPr>
          <w:rFonts w:ascii="Times New Roman" w:hAnsi="Times New Roman"/>
          <w:bCs/>
          <w:sz w:val="24"/>
          <w:szCs w:val="24"/>
          <w:lang w:eastAsia="es-CO"/>
        </w:rPr>
      </w:pPr>
    </w:p>
    <w:p w14:paraId="45106420" w14:textId="087DD763"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7D118EE9" w14:textId="5FA3616D"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31AB0545" w14:textId="20836489"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5DC5B4B5" w14:textId="43BB92AE"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49E2C036" w14:textId="144FC45A"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35EFE235" w14:textId="798B2FBA"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15B9A083" w14:textId="18F8193A"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3B3F8AE0" w14:textId="52A3769C"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4279AA13" w14:textId="34A44F7A"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1F4B8372" w14:textId="6B7F9724"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736334F3" w14:textId="726C8C71" w:rsidR="007731B1" w:rsidRDefault="007731B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3CC48DE7" w14:textId="77777777" w:rsidR="00EC4B21" w:rsidRDefault="00EC4B2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0C35F763" w14:textId="77777777" w:rsidR="00EC4B21" w:rsidRDefault="00EC4B2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3F4E6A52" w14:textId="77777777" w:rsidR="00EC4B21" w:rsidRDefault="00EC4B2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5CE187F2" w14:textId="77777777" w:rsidR="00EC4B21" w:rsidRDefault="00EC4B21"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27ADAD18" w14:textId="77777777" w:rsidR="0032221D" w:rsidRDefault="0032221D"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2396AA8A" w14:textId="3C51C2DF" w:rsidR="00390002" w:rsidRDefault="00933888"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r w:rsidRPr="00933888">
        <w:rPr>
          <w:rFonts w:ascii="Times New Roman" w:hAnsi="Times New Roman"/>
          <w:bCs/>
          <w:sz w:val="24"/>
          <w:szCs w:val="24"/>
          <w:lang w:eastAsia="es-CO"/>
        </w:rPr>
        <w:t>El valor residual de un activo intangible será nulo a menos que:</w:t>
      </w:r>
    </w:p>
    <w:p w14:paraId="66648A5B" w14:textId="42998982" w:rsidR="00390002" w:rsidRDefault="00390002" w:rsidP="00390002">
      <w:pPr>
        <w:suppressAutoHyphens/>
        <w:autoSpaceDE w:val="0"/>
        <w:autoSpaceDN w:val="0"/>
        <w:adjustRightInd w:val="0"/>
        <w:spacing w:after="0" w:line="240" w:lineRule="auto"/>
        <w:ind w:left="708" w:right="49"/>
        <w:jc w:val="both"/>
        <w:rPr>
          <w:rFonts w:ascii="Times New Roman" w:hAnsi="Times New Roman"/>
          <w:bCs/>
          <w:sz w:val="24"/>
          <w:szCs w:val="24"/>
          <w:lang w:eastAsia="es-CO"/>
        </w:rPr>
      </w:pPr>
    </w:p>
    <w:p w14:paraId="2446C6C9" w14:textId="40974121" w:rsidR="00390002" w:rsidRDefault="00933888" w:rsidP="00390002">
      <w:pPr>
        <w:suppressAutoHyphens/>
        <w:autoSpaceDE w:val="0"/>
        <w:autoSpaceDN w:val="0"/>
        <w:adjustRightInd w:val="0"/>
        <w:spacing w:after="0" w:line="240" w:lineRule="auto"/>
        <w:ind w:left="708" w:right="49"/>
        <w:jc w:val="both"/>
        <w:rPr>
          <w:rFonts w:ascii="Times New Roman" w:hAnsi="Times New Roman"/>
          <w:bCs/>
          <w:sz w:val="24"/>
          <w:szCs w:val="24"/>
          <w:lang w:eastAsia="es-CO"/>
        </w:rPr>
      </w:pPr>
      <w:r w:rsidRPr="00933888">
        <w:rPr>
          <w:rFonts w:ascii="Times New Roman" w:hAnsi="Times New Roman"/>
          <w:bCs/>
          <w:sz w:val="24"/>
          <w:szCs w:val="24"/>
          <w:lang w:eastAsia="es-CO"/>
        </w:rPr>
        <w:t xml:space="preserve">(a) haya un compromiso, por el Icfes de un tercero, de comprar el activo al final de su vida útil; </w:t>
      </w:r>
      <w:r w:rsidR="00390002">
        <w:rPr>
          <w:rFonts w:ascii="Times New Roman" w:hAnsi="Times New Roman"/>
          <w:bCs/>
          <w:sz w:val="24"/>
          <w:szCs w:val="24"/>
          <w:lang w:eastAsia="es-CO"/>
        </w:rPr>
        <w:t xml:space="preserve">o </w:t>
      </w:r>
    </w:p>
    <w:p w14:paraId="614DF9EE" w14:textId="6F489ECC" w:rsidR="00390002" w:rsidRDefault="00933888" w:rsidP="00390002">
      <w:pPr>
        <w:suppressAutoHyphens/>
        <w:autoSpaceDE w:val="0"/>
        <w:autoSpaceDN w:val="0"/>
        <w:adjustRightInd w:val="0"/>
        <w:spacing w:after="0" w:line="240" w:lineRule="auto"/>
        <w:ind w:left="708" w:right="49"/>
        <w:jc w:val="both"/>
        <w:rPr>
          <w:rFonts w:ascii="Times New Roman" w:hAnsi="Times New Roman"/>
          <w:bCs/>
          <w:sz w:val="24"/>
          <w:szCs w:val="24"/>
          <w:lang w:eastAsia="es-CO"/>
        </w:rPr>
      </w:pPr>
      <w:r w:rsidRPr="00933888">
        <w:rPr>
          <w:rFonts w:ascii="Times New Roman" w:hAnsi="Times New Roman"/>
          <w:bCs/>
          <w:sz w:val="24"/>
          <w:szCs w:val="24"/>
          <w:lang w:eastAsia="es-CO"/>
        </w:rPr>
        <w:t xml:space="preserve">(b) existe un mercado activo para el activo y: </w:t>
      </w:r>
    </w:p>
    <w:p w14:paraId="6E43C64C" w14:textId="2AA7239B" w:rsidR="00390002" w:rsidRDefault="00933888" w:rsidP="00390002">
      <w:pPr>
        <w:suppressAutoHyphens/>
        <w:autoSpaceDE w:val="0"/>
        <w:autoSpaceDN w:val="0"/>
        <w:adjustRightInd w:val="0"/>
        <w:spacing w:after="0" w:line="240" w:lineRule="auto"/>
        <w:ind w:left="1416" w:right="49"/>
        <w:jc w:val="both"/>
        <w:rPr>
          <w:rFonts w:ascii="Times New Roman" w:hAnsi="Times New Roman"/>
          <w:bCs/>
          <w:sz w:val="24"/>
          <w:szCs w:val="24"/>
          <w:lang w:eastAsia="es-CO"/>
        </w:rPr>
      </w:pPr>
      <w:r w:rsidRPr="00933888">
        <w:rPr>
          <w:rFonts w:ascii="Times New Roman" w:hAnsi="Times New Roman"/>
          <w:bCs/>
          <w:sz w:val="24"/>
          <w:szCs w:val="24"/>
          <w:lang w:eastAsia="es-CO"/>
        </w:rPr>
        <w:t xml:space="preserve">(i) pueda determinarse el valor residual con referencia a este mercado; y </w:t>
      </w:r>
    </w:p>
    <w:p w14:paraId="7E8AA15D" w14:textId="195DF51E" w:rsidR="002F1D12" w:rsidRDefault="00933888" w:rsidP="00390002">
      <w:pPr>
        <w:suppressAutoHyphens/>
        <w:autoSpaceDE w:val="0"/>
        <w:autoSpaceDN w:val="0"/>
        <w:adjustRightInd w:val="0"/>
        <w:spacing w:after="0" w:line="240" w:lineRule="auto"/>
        <w:ind w:left="1416" w:right="49"/>
        <w:jc w:val="both"/>
        <w:rPr>
          <w:rFonts w:ascii="Times New Roman" w:hAnsi="Times New Roman"/>
          <w:bCs/>
          <w:sz w:val="24"/>
          <w:szCs w:val="24"/>
          <w:lang w:eastAsia="es-CO"/>
        </w:rPr>
      </w:pPr>
      <w:r w:rsidRPr="00933888">
        <w:rPr>
          <w:rFonts w:ascii="Times New Roman" w:hAnsi="Times New Roman"/>
          <w:bCs/>
          <w:sz w:val="24"/>
          <w:szCs w:val="24"/>
          <w:lang w:eastAsia="es-CO"/>
        </w:rPr>
        <w:t>(ii) sea probable que este mercado existirá al final de la vida útil del activo.</w:t>
      </w:r>
    </w:p>
    <w:p w14:paraId="3EA0A4E7" w14:textId="77777777" w:rsidR="002947FD" w:rsidRDefault="002947FD"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p>
    <w:p w14:paraId="2CB76FAF" w14:textId="1EC75D19" w:rsidR="002F1D12" w:rsidRDefault="002F1D12" w:rsidP="00390002">
      <w:pPr>
        <w:suppressAutoHyphens/>
        <w:autoSpaceDE w:val="0"/>
        <w:autoSpaceDN w:val="0"/>
        <w:adjustRightInd w:val="0"/>
        <w:spacing w:after="0" w:line="240" w:lineRule="auto"/>
        <w:ind w:right="49"/>
        <w:jc w:val="both"/>
        <w:rPr>
          <w:rFonts w:ascii="Times New Roman" w:hAnsi="Times New Roman"/>
          <w:bCs/>
          <w:sz w:val="24"/>
          <w:szCs w:val="24"/>
          <w:lang w:eastAsia="es-CO"/>
        </w:rPr>
      </w:pPr>
      <w:r w:rsidRPr="002F1D12">
        <w:rPr>
          <w:rFonts w:ascii="Times New Roman" w:hAnsi="Times New Roman"/>
          <w:bCs/>
          <w:sz w:val="24"/>
          <w:szCs w:val="24"/>
          <w:lang w:eastAsia="es-CO"/>
        </w:rPr>
        <w:t>Teniendo en cuenta lo anterior el Icfes no tiene compromiso por parte de un tercero, para comprar los intangibles al final de su vida útil y tampoco tiene la intensión de comercializarlo antes que termine su vida útil, el valor residual será cero o nulo.</w:t>
      </w:r>
    </w:p>
    <w:p w14:paraId="35B08390" w14:textId="71360C58" w:rsidR="00206B30" w:rsidRPr="0015632C" w:rsidRDefault="00206B30" w:rsidP="00425DA9">
      <w:pPr>
        <w:pStyle w:val="Ttulo2"/>
        <w:numPr>
          <w:ilvl w:val="1"/>
          <w:numId w:val="12"/>
        </w:numPr>
        <w:ind w:left="567" w:hanging="567"/>
        <w:rPr>
          <w:szCs w:val="22"/>
        </w:rPr>
      </w:pPr>
      <w:bookmarkStart w:id="43" w:name="_Toc99455327"/>
      <w:r w:rsidRPr="0015632C">
        <w:rPr>
          <w:szCs w:val="22"/>
        </w:rPr>
        <w:lastRenderedPageBreak/>
        <w:t>Detalle saldos y movimientos</w:t>
      </w:r>
      <w:bookmarkEnd w:id="43"/>
    </w:p>
    <w:p w14:paraId="4FB40381" w14:textId="418481E8" w:rsidR="00206B30" w:rsidRDefault="00E63802" w:rsidP="00667BC9">
      <w:pPr>
        <w:spacing w:after="0" w:line="240" w:lineRule="auto"/>
        <w:ind w:left="720"/>
        <w:jc w:val="both"/>
        <w:rPr>
          <w:rFonts w:ascii="Times New Roman" w:hAnsi="Times New Roman"/>
          <w:sz w:val="24"/>
          <w:szCs w:val="24"/>
        </w:rPr>
      </w:pPr>
      <w:r w:rsidRPr="00E63802">
        <w:rPr>
          <w:noProof/>
        </w:rPr>
        <w:drawing>
          <wp:anchor distT="0" distB="0" distL="114300" distR="114300" simplePos="0" relativeHeight="252719104" behindDoc="1" locked="0" layoutInCell="1" allowOverlap="1" wp14:anchorId="4516250D" wp14:editId="15857BDD">
            <wp:simplePos x="0" y="0"/>
            <wp:positionH relativeFrom="column">
              <wp:posOffset>-44450</wp:posOffset>
            </wp:positionH>
            <wp:positionV relativeFrom="paragraph">
              <wp:posOffset>59690</wp:posOffset>
            </wp:positionV>
            <wp:extent cx="5881370" cy="3410585"/>
            <wp:effectExtent l="0" t="0" r="508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1370" cy="3410585"/>
                    </a:xfrm>
                    <a:prstGeom prst="rect">
                      <a:avLst/>
                    </a:prstGeom>
                    <a:noFill/>
                    <a:ln>
                      <a:noFill/>
                    </a:ln>
                  </pic:spPr>
                </pic:pic>
              </a:graphicData>
            </a:graphic>
          </wp:anchor>
        </w:drawing>
      </w:r>
    </w:p>
    <w:p w14:paraId="2AA8EF97" w14:textId="7E60F48A" w:rsidR="00F03007" w:rsidRPr="00E2373F" w:rsidRDefault="00F03007" w:rsidP="00667BC9">
      <w:pPr>
        <w:spacing w:after="0" w:line="240" w:lineRule="auto"/>
        <w:ind w:left="720"/>
        <w:jc w:val="both"/>
        <w:rPr>
          <w:rFonts w:ascii="Times New Roman" w:hAnsi="Times New Roman"/>
          <w:sz w:val="24"/>
          <w:szCs w:val="24"/>
        </w:rPr>
      </w:pPr>
    </w:p>
    <w:p w14:paraId="79976E45" w14:textId="6C44F02C" w:rsidR="003E7AC0" w:rsidRPr="00E2373F" w:rsidRDefault="003E7AC0" w:rsidP="00667BC9">
      <w:pPr>
        <w:spacing w:after="0" w:line="240" w:lineRule="auto"/>
        <w:jc w:val="center"/>
        <w:rPr>
          <w:rFonts w:ascii="Times New Roman" w:hAnsi="Times New Roman"/>
          <w:sz w:val="24"/>
          <w:szCs w:val="24"/>
        </w:rPr>
      </w:pPr>
    </w:p>
    <w:p w14:paraId="3E88EDF8" w14:textId="14EB146C" w:rsidR="003E7AC0" w:rsidRDefault="003E7AC0" w:rsidP="00667BC9">
      <w:pPr>
        <w:spacing w:after="0" w:line="240" w:lineRule="auto"/>
        <w:jc w:val="center"/>
        <w:rPr>
          <w:rFonts w:ascii="Times New Roman" w:hAnsi="Times New Roman"/>
          <w:sz w:val="24"/>
          <w:szCs w:val="24"/>
        </w:rPr>
      </w:pPr>
    </w:p>
    <w:p w14:paraId="197B3985" w14:textId="3CD7E1CF" w:rsidR="00E3726F" w:rsidRDefault="00E3726F" w:rsidP="00667BC9">
      <w:pPr>
        <w:spacing w:after="0" w:line="240" w:lineRule="auto"/>
        <w:jc w:val="center"/>
        <w:rPr>
          <w:rFonts w:ascii="Times New Roman" w:hAnsi="Times New Roman"/>
          <w:sz w:val="24"/>
          <w:szCs w:val="24"/>
        </w:rPr>
      </w:pPr>
    </w:p>
    <w:p w14:paraId="3BE54CE7" w14:textId="14AEE7AB" w:rsidR="00E3726F" w:rsidRDefault="00E3726F" w:rsidP="00667BC9">
      <w:pPr>
        <w:spacing w:after="0" w:line="240" w:lineRule="auto"/>
        <w:jc w:val="center"/>
        <w:rPr>
          <w:rFonts w:ascii="Times New Roman" w:hAnsi="Times New Roman"/>
          <w:sz w:val="24"/>
          <w:szCs w:val="24"/>
        </w:rPr>
      </w:pPr>
    </w:p>
    <w:p w14:paraId="0A3416CB" w14:textId="1B3F9C32" w:rsidR="00E3726F" w:rsidRDefault="00E3726F" w:rsidP="00667BC9">
      <w:pPr>
        <w:spacing w:after="0" w:line="240" w:lineRule="auto"/>
        <w:jc w:val="center"/>
        <w:rPr>
          <w:rFonts w:ascii="Times New Roman" w:hAnsi="Times New Roman"/>
          <w:sz w:val="24"/>
          <w:szCs w:val="24"/>
        </w:rPr>
      </w:pPr>
    </w:p>
    <w:p w14:paraId="3F82FC24" w14:textId="4386B40D" w:rsidR="00E3726F" w:rsidRDefault="00E3726F" w:rsidP="00667BC9">
      <w:pPr>
        <w:spacing w:after="0" w:line="240" w:lineRule="auto"/>
        <w:jc w:val="center"/>
        <w:rPr>
          <w:rFonts w:ascii="Times New Roman" w:hAnsi="Times New Roman"/>
          <w:sz w:val="24"/>
          <w:szCs w:val="24"/>
        </w:rPr>
      </w:pPr>
    </w:p>
    <w:p w14:paraId="3B4D3207" w14:textId="2F6EAFBC" w:rsidR="00E3726F" w:rsidRDefault="00E3726F" w:rsidP="00667BC9">
      <w:pPr>
        <w:spacing w:after="0" w:line="240" w:lineRule="auto"/>
        <w:jc w:val="center"/>
        <w:rPr>
          <w:rFonts w:ascii="Times New Roman" w:hAnsi="Times New Roman"/>
          <w:sz w:val="24"/>
          <w:szCs w:val="24"/>
        </w:rPr>
      </w:pPr>
    </w:p>
    <w:p w14:paraId="599BDF3D" w14:textId="2E765FE3" w:rsidR="00E3726F" w:rsidRDefault="00E3726F" w:rsidP="00667BC9">
      <w:pPr>
        <w:spacing w:after="0" w:line="240" w:lineRule="auto"/>
        <w:jc w:val="center"/>
        <w:rPr>
          <w:rFonts w:ascii="Times New Roman" w:hAnsi="Times New Roman"/>
          <w:sz w:val="24"/>
          <w:szCs w:val="24"/>
        </w:rPr>
      </w:pPr>
    </w:p>
    <w:p w14:paraId="0927479E" w14:textId="68E0D34A" w:rsidR="00E3726F" w:rsidRDefault="00E3726F" w:rsidP="00667BC9">
      <w:pPr>
        <w:spacing w:after="0" w:line="240" w:lineRule="auto"/>
        <w:jc w:val="center"/>
        <w:rPr>
          <w:rFonts w:ascii="Times New Roman" w:hAnsi="Times New Roman"/>
          <w:sz w:val="24"/>
          <w:szCs w:val="24"/>
        </w:rPr>
      </w:pPr>
    </w:p>
    <w:p w14:paraId="090BDDD7" w14:textId="158957ED" w:rsidR="00E3726F" w:rsidRDefault="00E3726F" w:rsidP="00667BC9">
      <w:pPr>
        <w:spacing w:after="0" w:line="240" w:lineRule="auto"/>
        <w:jc w:val="center"/>
        <w:rPr>
          <w:rFonts w:ascii="Times New Roman" w:hAnsi="Times New Roman"/>
          <w:sz w:val="24"/>
          <w:szCs w:val="24"/>
        </w:rPr>
      </w:pPr>
    </w:p>
    <w:p w14:paraId="644BCFBF" w14:textId="0677AFAD" w:rsidR="00E3726F" w:rsidRDefault="00E3726F" w:rsidP="00667BC9">
      <w:pPr>
        <w:spacing w:after="0" w:line="240" w:lineRule="auto"/>
        <w:jc w:val="center"/>
        <w:rPr>
          <w:rFonts w:ascii="Times New Roman" w:hAnsi="Times New Roman"/>
          <w:sz w:val="24"/>
          <w:szCs w:val="24"/>
        </w:rPr>
      </w:pPr>
    </w:p>
    <w:p w14:paraId="4ECD412F" w14:textId="4AE200E6" w:rsidR="00E3726F" w:rsidRDefault="00E3726F" w:rsidP="00667BC9">
      <w:pPr>
        <w:spacing w:after="0" w:line="240" w:lineRule="auto"/>
        <w:jc w:val="center"/>
        <w:rPr>
          <w:rFonts w:ascii="Times New Roman" w:hAnsi="Times New Roman"/>
          <w:sz w:val="24"/>
          <w:szCs w:val="24"/>
        </w:rPr>
      </w:pPr>
    </w:p>
    <w:p w14:paraId="4B920940" w14:textId="61990B3B" w:rsidR="00E3726F" w:rsidRDefault="00E3726F" w:rsidP="00667BC9">
      <w:pPr>
        <w:spacing w:after="0" w:line="240" w:lineRule="auto"/>
        <w:jc w:val="center"/>
        <w:rPr>
          <w:rFonts w:ascii="Times New Roman" w:hAnsi="Times New Roman"/>
          <w:sz w:val="24"/>
          <w:szCs w:val="24"/>
        </w:rPr>
      </w:pPr>
    </w:p>
    <w:p w14:paraId="23EF662B" w14:textId="296FB71A" w:rsidR="00E3726F" w:rsidRDefault="00E3726F" w:rsidP="00667BC9">
      <w:pPr>
        <w:spacing w:after="0" w:line="240" w:lineRule="auto"/>
        <w:jc w:val="center"/>
        <w:rPr>
          <w:rFonts w:ascii="Times New Roman" w:hAnsi="Times New Roman"/>
          <w:sz w:val="24"/>
          <w:szCs w:val="24"/>
        </w:rPr>
      </w:pPr>
    </w:p>
    <w:p w14:paraId="3DD017F8" w14:textId="73344F6B" w:rsidR="00C617AD" w:rsidRDefault="00C617AD" w:rsidP="00667BC9">
      <w:pPr>
        <w:spacing w:after="0" w:line="240" w:lineRule="auto"/>
        <w:jc w:val="center"/>
        <w:rPr>
          <w:rFonts w:ascii="Times New Roman" w:hAnsi="Times New Roman"/>
          <w:sz w:val="24"/>
          <w:szCs w:val="24"/>
        </w:rPr>
      </w:pPr>
    </w:p>
    <w:p w14:paraId="38D7C344" w14:textId="289D92D6" w:rsidR="00C617AD" w:rsidRDefault="00C617AD" w:rsidP="00667BC9">
      <w:pPr>
        <w:spacing w:after="0" w:line="240" w:lineRule="auto"/>
        <w:jc w:val="center"/>
        <w:rPr>
          <w:rFonts w:ascii="Times New Roman" w:hAnsi="Times New Roman"/>
          <w:sz w:val="24"/>
          <w:szCs w:val="24"/>
        </w:rPr>
      </w:pPr>
    </w:p>
    <w:p w14:paraId="4016F4FB" w14:textId="51E8EDE3" w:rsidR="00C617AD" w:rsidRDefault="00C617AD" w:rsidP="00667BC9">
      <w:pPr>
        <w:spacing w:after="0" w:line="240" w:lineRule="auto"/>
        <w:jc w:val="center"/>
        <w:rPr>
          <w:rFonts w:ascii="Times New Roman" w:hAnsi="Times New Roman"/>
          <w:sz w:val="24"/>
          <w:szCs w:val="24"/>
        </w:rPr>
      </w:pPr>
    </w:p>
    <w:p w14:paraId="21239488" w14:textId="3D8C968B" w:rsidR="00C617AD" w:rsidRDefault="00C617AD" w:rsidP="00667BC9">
      <w:pPr>
        <w:spacing w:after="0" w:line="240" w:lineRule="auto"/>
        <w:jc w:val="center"/>
        <w:rPr>
          <w:rFonts w:ascii="Times New Roman" w:hAnsi="Times New Roman"/>
          <w:sz w:val="24"/>
          <w:szCs w:val="24"/>
        </w:rPr>
      </w:pPr>
    </w:p>
    <w:p w14:paraId="6510D506" w14:textId="24F8C975" w:rsidR="000F5276" w:rsidRPr="0015632C" w:rsidRDefault="000F5276" w:rsidP="00425DA9">
      <w:pPr>
        <w:pStyle w:val="Ttulo2"/>
        <w:numPr>
          <w:ilvl w:val="1"/>
          <w:numId w:val="12"/>
        </w:numPr>
        <w:ind w:left="567" w:hanging="567"/>
        <w:rPr>
          <w:szCs w:val="22"/>
        </w:rPr>
      </w:pPr>
      <w:bookmarkStart w:id="44" w:name="_Toc99455328"/>
      <w:r>
        <w:rPr>
          <w:szCs w:val="22"/>
        </w:rPr>
        <w:t>Revelaciones adicionales</w:t>
      </w:r>
      <w:bookmarkEnd w:id="44"/>
    </w:p>
    <w:p w14:paraId="0B0F1A45" w14:textId="7755549C" w:rsidR="003E7AC0" w:rsidRDefault="00E63802" w:rsidP="0032221D">
      <w:pPr>
        <w:spacing w:after="0" w:line="240" w:lineRule="auto"/>
        <w:ind w:left="567"/>
        <w:jc w:val="both"/>
        <w:rPr>
          <w:rFonts w:ascii="Times New Roman" w:hAnsi="Times New Roman"/>
          <w:b/>
          <w:sz w:val="24"/>
          <w:szCs w:val="24"/>
        </w:rPr>
      </w:pPr>
      <w:r w:rsidRPr="00E63802">
        <w:rPr>
          <w:noProof/>
        </w:rPr>
        <w:drawing>
          <wp:anchor distT="0" distB="0" distL="114300" distR="114300" simplePos="0" relativeHeight="252720128" behindDoc="1" locked="0" layoutInCell="1" allowOverlap="1" wp14:anchorId="44043692" wp14:editId="7C11DBCC">
            <wp:simplePos x="0" y="0"/>
            <wp:positionH relativeFrom="column">
              <wp:posOffset>-6350</wp:posOffset>
            </wp:positionH>
            <wp:positionV relativeFrom="paragraph">
              <wp:posOffset>61595</wp:posOffset>
            </wp:positionV>
            <wp:extent cx="5881370" cy="1974850"/>
            <wp:effectExtent l="0" t="0" r="5080" b="63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1370" cy="1974850"/>
                    </a:xfrm>
                    <a:prstGeom prst="rect">
                      <a:avLst/>
                    </a:prstGeom>
                    <a:noFill/>
                    <a:ln>
                      <a:noFill/>
                    </a:ln>
                  </pic:spPr>
                </pic:pic>
              </a:graphicData>
            </a:graphic>
          </wp:anchor>
        </w:drawing>
      </w:r>
    </w:p>
    <w:p w14:paraId="0982091F" w14:textId="4606AC42" w:rsidR="00DC302B" w:rsidRDefault="00DC302B" w:rsidP="00667BC9">
      <w:pPr>
        <w:spacing w:after="0" w:line="240" w:lineRule="auto"/>
        <w:jc w:val="both"/>
        <w:rPr>
          <w:rFonts w:ascii="Times New Roman" w:hAnsi="Times New Roman"/>
          <w:b/>
          <w:sz w:val="24"/>
          <w:szCs w:val="24"/>
        </w:rPr>
      </w:pPr>
    </w:p>
    <w:p w14:paraId="1ADA3847" w14:textId="40ADAAEC" w:rsidR="00DC302B" w:rsidRDefault="00DC302B" w:rsidP="00667BC9">
      <w:pPr>
        <w:spacing w:after="0" w:line="240" w:lineRule="auto"/>
        <w:jc w:val="both"/>
        <w:rPr>
          <w:rFonts w:ascii="Times New Roman" w:hAnsi="Times New Roman"/>
          <w:b/>
          <w:sz w:val="24"/>
          <w:szCs w:val="24"/>
        </w:rPr>
      </w:pPr>
    </w:p>
    <w:p w14:paraId="6183033D" w14:textId="7A201D63" w:rsidR="00DC302B" w:rsidRDefault="00DC302B" w:rsidP="00667BC9">
      <w:pPr>
        <w:spacing w:after="0" w:line="240" w:lineRule="auto"/>
        <w:jc w:val="both"/>
        <w:rPr>
          <w:rFonts w:ascii="Times New Roman" w:hAnsi="Times New Roman"/>
          <w:b/>
          <w:sz w:val="24"/>
          <w:szCs w:val="24"/>
        </w:rPr>
      </w:pPr>
    </w:p>
    <w:p w14:paraId="3D146430" w14:textId="52545DC7" w:rsidR="00DC302B" w:rsidRDefault="00DC302B" w:rsidP="00667BC9">
      <w:pPr>
        <w:spacing w:after="0" w:line="240" w:lineRule="auto"/>
        <w:jc w:val="both"/>
        <w:rPr>
          <w:rFonts w:ascii="Times New Roman" w:hAnsi="Times New Roman"/>
          <w:b/>
          <w:sz w:val="24"/>
          <w:szCs w:val="24"/>
        </w:rPr>
      </w:pPr>
    </w:p>
    <w:p w14:paraId="391AEAF8" w14:textId="77777777" w:rsidR="002F1D12" w:rsidRDefault="002F1D12" w:rsidP="007A651D">
      <w:pPr>
        <w:spacing w:after="0" w:line="240" w:lineRule="auto"/>
        <w:jc w:val="both"/>
        <w:rPr>
          <w:rFonts w:ascii="Times New Roman" w:hAnsi="Times New Roman"/>
          <w:sz w:val="24"/>
          <w:szCs w:val="24"/>
        </w:rPr>
      </w:pPr>
    </w:p>
    <w:p w14:paraId="332499D6" w14:textId="77777777" w:rsidR="002F1D12" w:rsidRDefault="002F1D12" w:rsidP="007A651D">
      <w:pPr>
        <w:spacing w:after="0" w:line="240" w:lineRule="auto"/>
        <w:jc w:val="both"/>
        <w:rPr>
          <w:rFonts w:ascii="Times New Roman" w:hAnsi="Times New Roman"/>
          <w:sz w:val="24"/>
          <w:szCs w:val="24"/>
        </w:rPr>
      </w:pPr>
    </w:p>
    <w:p w14:paraId="74BAB754" w14:textId="77777777" w:rsidR="002F1D12" w:rsidRDefault="002F1D12" w:rsidP="007A651D">
      <w:pPr>
        <w:spacing w:after="0" w:line="240" w:lineRule="auto"/>
        <w:jc w:val="both"/>
        <w:rPr>
          <w:rFonts w:ascii="Times New Roman" w:hAnsi="Times New Roman"/>
          <w:sz w:val="24"/>
          <w:szCs w:val="24"/>
        </w:rPr>
      </w:pPr>
    </w:p>
    <w:p w14:paraId="508D21D3" w14:textId="77777777" w:rsidR="00FA3FE4" w:rsidRDefault="00FA3FE4" w:rsidP="007A651D">
      <w:pPr>
        <w:spacing w:after="0" w:line="240" w:lineRule="auto"/>
        <w:jc w:val="both"/>
        <w:rPr>
          <w:rFonts w:ascii="Times New Roman" w:hAnsi="Times New Roman"/>
          <w:sz w:val="24"/>
          <w:szCs w:val="24"/>
        </w:rPr>
      </w:pPr>
    </w:p>
    <w:p w14:paraId="53FD0A5C" w14:textId="77777777" w:rsidR="001C3F9F" w:rsidRDefault="001C3F9F" w:rsidP="007A651D">
      <w:pPr>
        <w:spacing w:after="0" w:line="240" w:lineRule="auto"/>
        <w:jc w:val="both"/>
        <w:rPr>
          <w:rFonts w:ascii="Times New Roman" w:hAnsi="Times New Roman"/>
          <w:sz w:val="24"/>
          <w:szCs w:val="24"/>
        </w:rPr>
      </w:pPr>
    </w:p>
    <w:p w14:paraId="2AB484AD" w14:textId="77777777" w:rsidR="00FE351C" w:rsidRDefault="00FE351C" w:rsidP="007A651D">
      <w:pPr>
        <w:spacing w:after="0" w:line="240" w:lineRule="auto"/>
        <w:jc w:val="both"/>
        <w:rPr>
          <w:rFonts w:ascii="Times New Roman" w:hAnsi="Times New Roman"/>
          <w:sz w:val="24"/>
          <w:szCs w:val="24"/>
        </w:rPr>
      </w:pPr>
    </w:p>
    <w:p w14:paraId="03FC6C90" w14:textId="77777777" w:rsidR="0032221D" w:rsidRDefault="0032221D" w:rsidP="007A651D">
      <w:pPr>
        <w:spacing w:after="0" w:line="240" w:lineRule="auto"/>
        <w:jc w:val="both"/>
        <w:rPr>
          <w:rFonts w:ascii="Times New Roman" w:hAnsi="Times New Roman"/>
          <w:sz w:val="24"/>
          <w:szCs w:val="24"/>
        </w:rPr>
      </w:pPr>
    </w:p>
    <w:p w14:paraId="394A844A" w14:textId="2AD68D6E" w:rsidR="000F5276" w:rsidRDefault="007A651D" w:rsidP="007A651D">
      <w:pPr>
        <w:spacing w:after="0" w:line="240" w:lineRule="auto"/>
        <w:jc w:val="both"/>
        <w:rPr>
          <w:rFonts w:ascii="Times New Roman" w:hAnsi="Times New Roman"/>
          <w:sz w:val="24"/>
          <w:szCs w:val="24"/>
        </w:rPr>
      </w:pPr>
      <w:r w:rsidRPr="007A651D">
        <w:rPr>
          <w:rFonts w:ascii="Times New Roman" w:hAnsi="Times New Roman"/>
          <w:sz w:val="24"/>
          <w:szCs w:val="24"/>
        </w:rPr>
        <w:t>No se mantienen activos intangibles en uso que se encuentren completamente amortizados.</w:t>
      </w:r>
    </w:p>
    <w:p w14:paraId="591983F5" w14:textId="77777777" w:rsidR="00F80EAC" w:rsidRDefault="00F80EAC" w:rsidP="003637A9">
      <w:pPr>
        <w:suppressAutoHyphens/>
        <w:autoSpaceDE w:val="0"/>
        <w:autoSpaceDN w:val="0"/>
        <w:adjustRightInd w:val="0"/>
        <w:spacing w:after="0" w:line="240" w:lineRule="auto"/>
        <w:rPr>
          <w:rFonts w:ascii="Times New Roman" w:hAnsi="Times New Roman"/>
          <w:b/>
          <w:sz w:val="24"/>
          <w:szCs w:val="24"/>
        </w:rPr>
      </w:pPr>
    </w:p>
    <w:p w14:paraId="43F75E8E" w14:textId="289A602A" w:rsidR="00FC5CE9" w:rsidRDefault="004A22A9" w:rsidP="00FC5CE9">
      <w:pPr>
        <w:suppressAutoHyphens/>
        <w:autoSpaceDE w:val="0"/>
        <w:autoSpaceDN w:val="0"/>
        <w:adjustRightInd w:val="0"/>
        <w:spacing w:after="0" w:line="240" w:lineRule="auto"/>
        <w:rPr>
          <w:rFonts w:ascii="Times New Roman" w:hAnsi="Times New Roman"/>
          <w:b/>
          <w:sz w:val="24"/>
          <w:szCs w:val="24"/>
        </w:rPr>
      </w:pPr>
      <w:r w:rsidRPr="00C63D02">
        <w:rPr>
          <w:rFonts w:ascii="Times New Roman" w:hAnsi="Times New Roman"/>
          <w:b/>
          <w:sz w:val="24"/>
          <w:szCs w:val="24"/>
        </w:rPr>
        <w:t xml:space="preserve">Deterioro de valor de activos no financieros frente al COVID </w:t>
      </w:r>
      <w:r w:rsidR="00FC5CE9">
        <w:rPr>
          <w:rFonts w:ascii="Times New Roman" w:hAnsi="Times New Roman"/>
          <w:b/>
          <w:sz w:val="24"/>
          <w:szCs w:val="24"/>
        </w:rPr>
        <w:t>–</w:t>
      </w:r>
      <w:r w:rsidRPr="00C63D02">
        <w:rPr>
          <w:rFonts w:ascii="Times New Roman" w:hAnsi="Times New Roman"/>
          <w:b/>
          <w:sz w:val="24"/>
          <w:szCs w:val="24"/>
        </w:rPr>
        <w:t xml:space="preserve"> 19</w:t>
      </w:r>
    </w:p>
    <w:p w14:paraId="44031A15" w14:textId="227D40F8" w:rsidR="007560D4" w:rsidRDefault="00FC5CE9" w:rsidP="00FC5CE9">
      <w:pPr>
        <w:suppressAutoHyphens/>
        <w:autoSpaceDE w:val="0"/>
        <w:autoSpaceDN w:val="0"/>
        <w:adjustRightInd w:val="0"/>
        <w:spacing w:after="0" w:line="240" w:lineRule="auto"/>
        <w:jc w:val="both"/>
        <w:rPr>
          <w:rFonts w:ascii="Times New Roman" w:hAnsi="Times New Roman"/>
          <w:sz w:val="24"/>
          <w:szCs w:val="24"/>
        </w:rPr>
      </w:pPr>
      <w:r w:rsidRPr="00FC5CE9">
        <w:rPr>
          <w:rFonts w:ascii="Times New Roman" w:hAnsi="Times New Roman"/>
          <w:sz w:val="24"/>
          <w:szCs w:val="24"/>
        </w:rPr>
        <w:t xml:space="preserve">La entidad ha presentado </w:t>
      </w:r>
      <w:r w:rsidR="00F06F6E">
        <w:rPr>
          <w:rFonts w:ascii="Times New Roman" w:hAnsi="Times New Roman"/>
          <w:sz w:val="24"/>
          <w:szCs w:val="24"/>
        </w:rPr>
        <w:t>una dismi</w:t>
      </w:r>
      <w:r w:rsidR="00EF2889">
        <w:rPr>
          <w:rFonts w:ascii="Times New Roman" w:hAnsi="Times New Roman"/>
          <w:sz w:val="24"/>
          <w:szCs w:val="24"/>
        </w:rPr>
        <w:t>n</w:t>
      </w:r>
      <w:r w:rsidR="00F06F6E">
        <w:rPr>
          <w:rFonts w:ascii="Times New Roman" w:hAnsi="Times New Roman"/>
          <w:sz w:val="24"/>
          <w:szCs w:val="24"/>
        </w:rPr>
        <w:t xml:space="preserve">ución </w:t>
      </w:r>
      <w:r w:rsidR="00EF2889">
        <w:rPr>
          <w:rFonts w:ascii="Times New Roman" w:hAnsi="Times New Roman"/>
          <w:sz w:val="24"/>
          <w:szCs w:val="24"/>
        </w:rPr>
        <w:t xml:space="preserve">en </w:t>
      </w:r>
      <w:r w:rsidR="004C03CA">
        <w:rPr>
          <w:rFonts w:ascii="Times New Roman" w:hAnsi="Times New Roman"/>
          <w:sz w:val="24"/>
          <w:szCs w:val="24"/>
        </w:rPr>
        <w:t xml:space="preserve">sus </w:t>
      </w:r>
      <w:r w:rsidR="00F5052B">
        <w:rPr>
          <w:rFonts w:ascii="Times New Roman" w:hAnsi="Times New Roman"/>
          <w:sz w:val="24"/>
          <w:szCs w:val="24"/>
        </w:rPr>
        <w:t>ingresos</w:t>
      </w:r>
      <w:r w:rsidRPr="00FC5CE9">
        <w:rPr>
          <w:rFonts w:ascii="Times New Roman" w:hAnsi="Times New Roman"/>
          <w:sz w:val="24"/>
          <w:szCs w:val="24"/>
        </w:rPr>
        <w:t xml:space="preserve">, </w:t>
      </w:r>
      <w:r w:rsidR="006E4163">
        <w:rPr>
          <w:rFonts w:ascii="Times New Roman" w:hAnsi="Times New Roman"/>
          <w:sz w:val="24"/>
          <w:szCs w:val="24"/>
        </w:rPr>
        <w:t xml:space="preserve">especialmente </w:t>
      </w:r>
      <w:r w:rsidR="006E4163">
        <w:rPr>
          <w:rFonts w:ascii="Times New Roman" w:hAnsi="Times New Roman"/>
          <w:sz w:val="24"/>
          <w:szCs w:val="24"/>
        </w:rPr>
        <w:t>durante el año 2020</w:t>
      </w:r>
      <w:r w:rsidR="006E4163">
        <w:rPr>
          <w:rFonts w:ascii="Times New Roman" w:hAnsi="Times New Roman"/>
          <w:sz w:val="24"/>
          <w:szCs w:val="24"/>
        </w:rPr>
        <w:t>,</w:t>
      </w:r>
      <w:r w:rsidR="006E4163">
        <w:rPr>
          <w:rFonts w:ascii="Times New Roman" w:hAnsi="Times New Roman"/>
          <w:sz w:val="24"/>
          <w:szCs w:val="24"/>
        </w:rPr>
        <w:t xml:space="preserve"> </w:t>
      </w:r>
      <w:r w:rsidRPr="00FC5CE9">
        <w:rPr>
          <w:rFonts w:ascii="Times New Roman" w:hAnsi="Times New Roman"/>
          <w:sz w:val="24"/>
          <w:szCs w:val="24"/>
        </w:rPr>
        <w:t xml:space="preserve">dada la coyuntura actual del COVID - 19, y obedece entre otros factores al </w:t>
      </w:r>
      <w:r w:rsidR="006E4163">
        <w:rPr>
          <w:rFonts w:ascii="Times New Roman" w:hAnsi="Times New Roman"/>
          <w:sz w:val="24"/>
          <w:szCs w:val="24"/>
        </w:rPr>
        <w:t>impacto</w:t>
      </w:r>
      <w:r w:rsidRPr="00FC5CE9">
        <w:rPr>
          <w:rFonts w:ascii="Times New Roman" w:hAnsi="Times New Roman"/>
          <w:sz w:val="24"/>
          <w:szCs w:val="24"/>
        </w:rPr>
        <w:t xml:space="preserve"> en los procesos de inscripción, recaudo y aplicación de las pruebas de estado</w:t>
      </w:r>
      <w:r w:rsidR="006E4163">
        <w:rPr>
          <w:rFonts w:ascii="Times New Roman" w:hAnsi="Times New Roman"/>
          <w:sz w:val="24"/>
          <w:szCs w:val="24"/>
        </w:rPr>
        <w:t>;</w:t>
      </w:r>
      <w:r w:rsidRPr="00FC5CE9">
        <w:rPr>
          <w:rFonts w:ascii="Times New Roman" w:hAnsi="Times New Roman"/>
          <w:sz w:val="24"/>
          <w:szCs w:val="24"/>
        </w:rPr>
        <w:t xml:space="preserve"> sin embargo, esto no implica que sus activos no financieros (Propiedades planta y equipo, activos intangibles, propiedades de inversión) se encuentren deteriorados. Se considera que, tratándose de un fenómeno transitorio con elevado nivel de incertidumbre, el cálculo del importe recuperable de sus activos (mayor entre el valor razonable del activo menos los costos de disposición y su valor en uso) no cuenta a corto plazo con suficientes bases para su reconocimiento y medición, en los estados financieros de la entidad.</w:t>
      </w:r>
    </w:p>
    <w:p w14:paraId="40A174AC" w14:textId="1128949B" w:rsidR="001F0D65" w:rsidRPr="007560D4" w:rsidRDefault="001F0D65" w:rsidP="007560D4">
      <w:pPr>
        <w:pStyle w:val="Ttulo1"/>
      </w:pPr>
      <w:bookmarkStart w:id="45" w:name="_Toc99455329"/>
      <w:r w:rsidRPr="007560D4">
        <w:lastRenderedPageBreak/>
        <w:t>NOTA 16. OTROS DERECHOS Y GARANTÍAS</w:t>
      </w:r>
      <w:bookmarkEnd w:id="45"/>
    </w:p>
    <w:p w14:paraId="4C17356F" w14:textId="29E7FF97" w:rsidR="002C0F28" w:rsidRDefault="002C0F28" w:rsidP="002C0F28">
      <w:pPr>
        <w:pStyle w:val="Ttulo2"/>
        <w:numPr>
          <w:ilvl w:val="0"/>
          <w:numId w:val="0"/>
        </w:numPr>
        <w:spacing w:line="240" w:lineRule="auto"/>
        <w:rPr>
          <w:szCs w:val="22"/>
        </w:rPr>
      </w:pPr>
    </w:p>
    <w:p w14:paraId="2E47187C" w14:textId="6510F722" w:rsidR="001F0D65" w:rsidRPr="004220FA" w:rsidRDefault="001F0D65" w:rsidP="002C0F28">
      <w:pPr>
        <w:pStyle w:val="Ttulo2"/>
        <w:numPr>
          <w:ilvl w:val="0"/>
          <w:numId w:val="0"/>
        </w:numPr>
        <w:spacing w:line="240" w:lineRule="auto"/>
        <w:rPr>
          <w:szCs w:val="22"/>
        </w:rPr>
      </w:pPr>
      <w:bookmarkStart w:id="46" w:name="_Toc99455330"/>
      <w:r w:rsidRPr="004220FA">
        <w:rPr>
          <w:szCs w:val="22"/>
        </w:rPr>
        <w:t>Composición</w:t>
      </w:r>
      <w:bookmarkEnd w:id="46"/>
    </w:p>
    <w:p w14:paraId="78831E57" w14:textId="4FD630C9" w:rsidR="001F0D65" w:rsidRPr="00E2373F" w:rsidRDefault="001F0D65" w:rsidP="002C0F28">
      <w:pPr>
        <w:spacing w:after="0" w:line="240" w:lineRule="auto"/>
        <w:jc w:val="both"/>
        <w:rPr>
          <w:rFonts w:ascii="Times New Roman" w:hAnsi="Times New Roman"/>
          <w:b/>
          <w:sz w:val="24"/>
          <w:szCs w:val="24"/>
        </w:rPr>
      </w:pPr>
    </w:p>
    <w:p w14:paraId="1F858492" w14:textId="1C1AC31B" w:rsidR="001F0D65" w:rsidRDefault="00EE6090" w:rsidP="002C0F28">
      <w:pPr>
        <w:pStyle w:val="Prrafodelista"/>
        <w:spacing w:after="0" w:line="240" w:lineRule="auto"/>
        <w:ind w:left="0"/>
        <w:jc w:val="both"/>
        <w:rPr>
          <w:rFonts w:ascii="Times New Roman" w:hAnsi="Times New Roman"/>
          <w:sz w:val="24"/>
          <w:szCs w:val="24"/>
        </w:rPr>
      </w:pPr>
      <w:r w:rsidRPr="00EE6090">
        <w:rPr>
          <w:rFonts w:ascii="Times New Roman" w:hAnsi="Times New Roman"/>
          <w:sz w:val="24"/>
          <w:szCs w:val="24"/>
        </w:rPr>
        <w:t xml:space="preserve">Corresponden a aquellos bienes y servicios cuyo pago se ha realizado antes de que la entidad obtenga el derecho al uso de los bienes y/o a la realización de los servicios. La desagregación de los bienes y servicios pagados por anticipado presentados en el estado de situación financiera individual al </w:t>
      </w:r>
      <w:r w:rsidR="00763C3E">
        <w:rPr>
          <w:rFonts w:ascii="Times New Roman" w:hAnsi="Times New Roman"/>
          <w:sz w:val="24"/>
          <w:szCs w:val="24"/>
        </w:rPr>
        <w:t>28</w:t>
      </w:r>
      <w:r w:rsidR="007831C9">
        <w:rPr>
          <w:rFonts w:ascii="Times New Roman" w:hAnsi="Times New Roman"/>
          <w:sz w:val="24"/>
          <w:szCs w:val="24"/>
        </w:rPr>
        <w:t xml:space="preserve"> </w:t>
      </w:r>
      <w:r w:rsidR="00210FC5">
        <w:rPr>
          <w:rFonts w:ascii="Times New Roman" w:hAnsi="Times New Roman"/>
          <w:sz w:val="24"/>
          <w:szCs w:val="24"/>
        </w:rPr>
        <w:t>marzo del año 2022</w:t>
      </w:r>
      <w:r w:rsidR="00846125">
        <w:rPr>
          <w:rFonts w:ascii="Times New Roman" w:hAnsi="Times New Roman"/>
          <w:sz w:val="24"/>
          <w:szCs w:val="24"/>
        </w:rPr>
        <w:t xml:space="preserve"> y </w:t>
      </w:r>
      <w:r w:rsidR="00763C3E">
        <w:rPr>
          <w:rFonts w:ascii="Times New Roman" w:hAnsi="Times New Roman"/>
          <w:sz w:val="24"/>
          <w:szCs w:val="24"/>
        </w:rPr>
        <w:t>28</w:t>
      </w:r>
      <w:r w:rsidR="00CF75CD">
        <w:rPr>
          <w:rFonts w:ascii="Times New Roman" w:hAnsi="Times New Roman"/>
          <w:sz w:val="24"/>
          <w:szCs w:val="24"/>
        </w:rPr>
        <w:t xml:space="preserve"> </w:t>
      </w:r>
      <w:r w:rsidR="00763C3E">
        <w:rPr>
          <w:rFonts w:ascii="Times New Roman" w:hAnsi="Times New Roman"/>
          <w:sz w:val="24"/>
          <w:szCs w:val="24"/>
        </w:rPr>
        <w:t>febrero</w:t>
      </w:r>
      <w:r w:rsidR="00846125">
        <w:rPr>
          <w:rFonts w:ascii="Times New Roman" w:hAnsi="Times New Roman"/>
          <w:sz w:val="24"/>
          <w:szCs w:val="24"/>
        </w:rPr>
        <w:t xml:space="preserve"> </w:t>
      </w:r>
      <w:r w:rsidR="00BD62C1">
        <w:rPr>
          <w:rFonts w:ascii="Times New Roman" w:hAnsi="Times New Roman"/>
          <w:sz w:val="24"/>
          <w:szCs w:val="24"/>
        </w:rPr>
        <w:t>del</w:t>
      </w:r>
      <w:r w:rsidR="00846125">
        <w:rPr>
          <w:rFonts w:ascii="Times New Roman" w:hAnsi="Times New Roman"/>
          <w:sz w:val="24"/>
          <w:szCs w:val="24"/>
        </w:rPr>
        <w:t xml:space="preserve"> año 202</w:t>
      </w:r>
      <w:r w:rsidR="00C63A9A">
        <w:rPr>
          <w:rFonts w:ascii="Times New Roman" w:hAnsi="Times New Roman"/>
          <w:sz w:val="24"/>
          <w:szCs w:val="24"/>
        </w:rPr>
        <w:t>1</w:t>
      </w:r>
      <w:r w:rsidRPr="00EE6090">
        <w:rPr>
          <w:rFonts w:ascii="Times New Roman" w:hAnsi="Times New Roman"/>
          <w:sz w:val="24"/>
          <w:szCs w:val="24"/>
        </w:rPr>
        <w:t xml:space="preserve"> es la siguiente:</w:t>
      </w:r>
    </w:p>
    <w:p w14:paraId="38D24837" w14:textId="1798004E" w:rsidR="00FD1347" w:rsidRPr="00E2373F" w:rsidRDefault="00662529" w:rsidP="002C0F28">
      <w:pPr>
        <w:pStyle w:val="Prrafodelista"/>
        <w:spacing w:after="0" w:line="240" w:lineRule="auto"/>
        <w:ind w:left="0"/>
        <w:jc w:val="both"/>
        <w:rPr>
          <w:rFonts w:ascii="Times New Roman" w:hAnsi="Times New Roman"/>
          <w:sz w:val="24"/>
          <w:szCs w:val="24"/>
        </w:rPr>
      </w:pPr>
      <w:r w:rsidRPr="00662529">
        <w:rPr>
          <w:noProof/>
        </w:rPr>
        <w:drawing>
          <wp:anchor distT="0" distB="0" distL="114300" distR="114300" simplePos="0" relativeHeight="252721152" behindDoc="1" locked="0" layoutInCell="1" allowOverlap="1" wp14:anchorId="4DA3BA59" wp14:editId="530E91D5">
            <wp:simplePos x="0" y="0"/>
            <wp:positionH relativeFrom="column">
              <wp:posOffset>-31750</wp:posOffset>
            </wp:positionH>
            <wp:positionV relativeFrom="paragraph">
              <wp:posOffset>108585</wp:posOffset>
            </wp:positionV>
            <wp:extent cx="5881370" cy="1036320"/>
            <wp:effectExtent l="0" t="0" r="508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1370" cy="1036320"/>
                    </a:xfrm>
                    <a:prstGeom prst="rect">
                      <a:avLst/>
                    </a:prstGeom>
                    <a:noFill/>
                    <a:ln>
                      <a:noFill/>
                    </a:ln>
                  </pic:spPr>
                </pic:pic>
              </a:graphicData>
            </a:graphic>
          </wp:anchor>
        </w:drawing>
      </w:r>
    </w:p>
    <w:p w14:paraId="438AE526" w14:textId="1B584173" w:rsidR="00EE2048" w:rsidRDefault="00EE2048" w:rsidP="00667BC9">
      <w:pPr>
        <w:pStyle w:val="Prrafodelista"/>
        <w:spacing w:after="0" w:line="240" w:lineRule="auto"/>
        <w:ind w:left="0"/>
        <w:jc w:val="center"/>
        <w:rPr>
          <w:rFonts w:ascii="Times New Roman" w:hAnsi="Times New Roman"/>
          <w:sz w:val="24"/>
          <w:szCs w:val="24"/>
        </w:rPr>
      </w:pPr>
    </w:p>
    <w:p w14:paraId="2199E0FC" w14:textId="08F314FA" w:rsidR="00EE2048" w:rsidRDefault="00EE2048" w:rsidP="00667BC9">
      <w:pPr>
        <w:pStyle w:val="Prrafodelista"/>
        <w:spacing w:after="0" w:line="240" w:lineRule="auto"/>
        <w:ind w:left="0"/>
        <w:jc w:val="center"/>
        <w:rPr>
          <w:rFonts w:ascii="Times New Roman" w:hAnsi="Times New Roman"/>
          <w:sz w:val="24"/>
          <w:szCs w:val="24"/>
        </w:rPr>
      </w:pPr>
    </w:p>
    <w:p w14:paraId="1754A64F" w14:textId="4DC2BC72" w:rsidR="00EE2048" w:rsidRDefault="00EE2048" w:rsidP="00667BC9">
      <w:pPr>
        <w:pStyle w:val="Prrafodelista"/>
        <w:spacing w:after="0" w:line="240" w:lineRule="auto"/>
        <w:ind w:left="0"/>
        <w:jc w:val="center"/>
        <w:rPr>
          <w:rFonts w:ascii="Times New Roman" w:hAnsi="Times New Roman"/>
          <w:sz w:val="24"/>
          <w:szCs w:val="24"/>
        </w:rPr>
      </w:pPr>
    </w:p>
    <w:p w14:paraId="44C28263" w14:textId="54F2446D" w:rsidR="00EE2048" w:rsidRDefault="00EE2048" w:rsidP="00667BC9">
      <w:pPr>
        <w:pStyle w:val="Prrafodelista"/>
        <w:spacing w:after="0" w:line="240" w:lineRule="auto"/>
        <w:ind w:left="0"/>
        <w:jc w:val="center"/>
        <w:rPr>
          <w:rFonts w:ascii="Times New Roman" w:hAnsi="Times New Roman"/>
          <w:sz w:val="24"/>
          <w:szCs w:val="24"/>
        </w:rPr>
      </w:pPr>
    </w:p>
    <w:p w14:paraId="4405C594" w14:textId="2F7F26EF" w:rsidR="00F17F22" w:rsidRDefault="00F17F22" w:rsidP="00667BC9">
      <w:pPr>
        <w:pStyle w:val="Prrafodelista"/>
        <w:spacing w:after="0" w:line="240" w:lineRule="auto"/>
        <w:ind w:left="0"/>
        <w:jc w:val="center"/>
        <w:rPr>
          <w:rFonts w:ascii="Times New Roman" w:hAnsi="Times New Roman"/>
          <w:sz w:val="24"/>
          <w:szCs w:val="24"/>
        </w:rPr>
      </w:pPr>
    </w:p>
    <w:p w14:paraId="55D20F7A" w14:textId="33328940" w:rsidR="00F17F22" w:rsidRDefault="00F17F22" w:rsidP="00667BC9">
      <w:pPr>
        <w:pStyle w:val="Prrafodelista"/>
        <w:spacing w:after="0" w:line="240" w:lineRule="auto"/>
        <w:ind w:left="0"/>
        <w:jc w:val="center"/>
        <w:rPr>
          <w:rFonts w:ascii="Times New Roman" w:hAnsi="Times New Roman"/>
          <w:sz w:val="24"/>
          <w:szCs w:val="24"/>
        </w:rPr>
      </w:pPr>
    </w:p>
    <w:p w14:paraId="06824373" w14:textId="379451DA" w:rsidR="00C2105C" w:rsidRDefault="00435D91" w:rsidP="00662529">
      <w:pPr>
        <w:pStyle w:val="Prrafodelista"/>
        <w:spacing w:after="0" w:line="240" w:lineRule="auto"/>
        <w:ind w:left="0"/>
        <w:jc w:val="both"/>
        <w:rPr>
          <w:rFonts w:ascii="Times New Roman" w:hAnsi="Times New Roman"/>
          <w:sz w:val="24"/>
          <w:szCs w:val="24"/>
        </w:rPr>
      </w:pPr>
      <w:r w:rsidRPr="00435D91">
        <w:rPr>
          <w:rFonts w:ascii="Times New Roman" w:hAnsi="Times New Roman"/>
          <w:sz w:val="24"/>
          <w:szCs w:val="24"/>
        </w:rPr>
        <w:t>Las pólizas de seguros son amortizadas en forma lineal en el tiempo en que se obtienen sus beneficios, corresponden generalmente a pólizas de seguros cuyo pago se ha realizado antes de que la entidad obtenga el derecho al uso de los bienes y/o a la realización de los servicios. La entidad considera que la cobertura de estas pólizas es adecuada para los riesgos inherentes a su actividad.</w:t>
      </w:r>
    </w:p>
    <w:p w14:paraId="608119B1" w14:textId="136E6C14" w:rsidR="00985F08" w:rsidRDefault="00985F08" w:rsidP="00662529">
      <w:pPr>
        <w:pStyle w:val="Prrafodelista"/>
        <w:spacing w:after="0" w:line="240" w:lineRule="auto"/>
        <w:ind w:left="0"/>
        <w:jc w:val="both"/>
        <w:rPr>
          <w:rFonts w:ascii="Times New Roman" w:hAnsi="Times New Roman"/>
          <w:sz w:val="24"/>
          <w:szCs w:val="24"/>
        </w:rPr>
      </w:pPr>
    </w:p>
    <w:p w14:paraId="3E6E5156" w14:textId="0A219013" w:rsidR="003915A6" w:rsidRDefault="003915A6" w:rsidP="00662529">
      <w:pPr>
        <w:pStyle w:val="Prrafodelista"/>
        <w:spacing w:after="0" w:line="240" w:lineRule="auto"/>
        <w:ind w:left="0"/>
        <w:jc w:val="both"/>
        <w:rPr>
          <w:rFonts w:ascii="Times New Roman" w:hAnsi="Times New Roman"/>
          <w:sz w:val="24"/>
          <w:szCs w:val="24"/>
        </w:rPr>
      </w:pPr>
      <w:r w:rsidRPr="00431812">
        <w:rPr>
          <w:rFonts w:ascii="Times New Roman" w:hAnsi="Times New Roman"/>
          <w:sz w:val="24"/>
          <w:szCs w:val="24"/>
        </w:rPr>
        <w:t>Los recursos registrados en calidad de Recursos en Administración corresponden a la financiación de créditos educativos condonables a los funcionarios de carrera administrativa y de libre nombramiento y remoción del Icfes por $ 63.134.909 en pesos colombianos.</w:t>
      </w:r>
    </w:p>
    <w:p w14:paraId="2C8F8D61" w14:textId="64E80902" w:rsidR="00C2105C" w:rsidRDefault="00C2105C" w:rsidP="00662529">
      <w:pPr>
        <w:pStyle w:val="Prrafodelista"/>
        <w:spacing w:after="0" w:line="240" w:lineRule="auto"/>
        <w:ind w:left="0"/>
        <w:jc w:val="center"/>
        <w:rPr>
          <w:rFonts w:ascii="Times New Roman" w:hAnsi="Times New Roman"/>
          <w:sz w:val="24"/>
          <w:szCs w:val="24"/>
        </w:rPr>
      </w:pPr>
    </w:p>
    <w:p w14:paraId="6F7B7E9E" w14:textId="47746DED" w:rsidR="003B629C" w:rsidRDefault="00942909" w:rsidP="00662529">
      <w:pPr>
        <w:pStyle w:val="Ttulo1"/>
      </w:pPr>
      <w:bookmarkStart w:id="47" w:name="_Toc99455331"/>
      <w:r w:rsidRPr="0073200F">
        <w:t>NOTA 1</w:t>
      </w:r>
      <w:r w:rsidR="00E63741" w:rsidRPr="0073200F">
        <w:t>7</w:t>
      </w:r>
      <w:r w:rsidRPr="0073200F">
        <w:t>. ARRENDAMIENTOS</w:t>
      </w:r>
      <w:bookmarkEnd w:id="47"/>
    </w:p>
    <w:p w14:paraId="196D6185" w14:textId="5AB42556" w:rsidR="003A3D71" w:rsidRPr="003A3D71" w:rsidRDefault="003A3D71" w:rsidP="00662529">
      <w:pPr>
        <w:spacing w:after="0" w:line="240" w:lineRule="auto"/>
      </w:pPr>
    </w:p>
    <w:p w14:paraId="3B7BDB49" w14:textId="1ADDAF54" w:rsidR="00C439C0" w:rsidRPr="006C2A39" w:rsidRDefault="00C439C0" w:rsidP="00662529">
      <w:pPr>
        <w:pStyle w:val="Ttulo2"/>
        <w:numPr>
          <w:ilvl w:val="1"/>
          <w:numId w:val="13"/>
        </w:numPr>
        <w:spacing w:line="240" w:lineRule="auto"/>
        <w:ind w:left="0" w:firstLine="0"/>
        <w:rPr>
          <w:szCs w:val="22"/>
        </w:rPr>
      </w:pPr>
      <w:bookmarkStart w:id="48" w:name="_Toc99455332"/>
      <w:r w:rsidRPr="006C2A39">
        <w:rPr>
          <w:szCs w:val="22"/>
        </w:rPr>
        <w:t>Arrendamientos operativos</w:t>
      </w:r>
      <w:bookmarkEnd w:id="48"/>
    </w:p>
    <w:p w14:paraId="2C40C4AC" w14:textId="0347BB74" w:rsidR="00F230B9" w:rsidRDefault="00662529" w:rsidP="00667BC9">
      <w:pPr>
        <w:spacing w:after="0" w:line="240" w:lineRule="auto"/>
        <w:jc w:val="both"/>
      </w:pPr>
      <w:r w:rsidRPr="00662529">
        <w:rPr>
          <w:noProof/>
        </w:rPr>
        <w:drawing>
          <wp:anchor distT="0" distB="0" distL="114300" distR="114300" simplePos="0" relativeHeight="252722176" behindDoc="1" locked="0" layoutInCell="1" allowOverlap="1" wp14:anchorId="235BACBD" wp14:editId="76E1F1FA">
            <wp:simplePos x="0" y="0"/>
            <wp:positionH relativeFrom="column">
              <wp:posOffset>0</wp:posOffset>
            </wp:positionH>
            <wp:positionV relativeFrom="paragraph">
              <wp:posOffset>66040</wp:posOffset>
            </wp:positionV>
            <wp:extent cx="5772150" cy="1479550"/>
            <wp:effectExtent l="0" t="0" r="0" b="635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2150" cy="1479550"/>
                    </a:xfrm>
                    <a:prstGeom prst="rect">
                      <a:avLst/>
                    </a:prstGeom>
                    <a:noFill/>
                    <a:ln>
                      <a:noFill/>
                    </a:ln>
                  </pic:spPr>
                </pic:pic>
              </a:graphicData>
            </a:graphic>
          </wp:anchor>
        </w:drawing>
      </w:r>
    </w:p>
    <w:p w14:paraId="50AC26D9" w14:textId="27F81BE2" w:rsidR="00EC728B" w:rsidRPr="00E2373F" w:rsidRDefault="00EC728B" w:rsidP="00667BC9">
      <w:pPr>
        <w:spacing w:after="0" w:line="240" w:lineRule="auto"/>
        <w:jc w:val="both"/>
        <w:rPr>
          <w:rFonts w:ascii="Times New Roman" w:hAnsi="Times New Roman"/>
          <w:sz w:val="24"/>
          <w:szCs w:val="24"/>
        </w:rPr>
      </w:pPr>
    </w:p>
    <w:p w14:paraId="168F077D" w14:textId="5DA08F83" w:rsidR="00340ADC" w:rsidRDefault="00340ADC" w:rsidP="00667BC9">
      <w:pPr>
        <w:spacing w:after="0" w:line="240" w:lineRule="auto"/>
        <w:jc w:val="center"/>
        <w:rPr>
          <w:rFonts w:ascii="Times New Roman" w:hAnsi="Times New Roman"/>
          <w:sz w:val="24"/>
          <w:szCs w:val="24"/>
        </w:rPr>
      </w:pPr>
    </w:p>
    <w:p w14:paraId="70BFC8CC" w14:textId="40AE01F5" w:rsidR="00562853" w:rsidRDefault="00562853" w:rsidP="00667BC9">
      <w:pPr>
        <w:spacing w:after="0" w:line="240" w:lineRule="auto"/>
        <w:jc w:val="center"/>
        <w:rPr>
          <w:rFonts w:ascii="Times New Roman" w:hAnsi="Times New Roman"/>
          <w:sz w:val="24"/>
          <w:szCs w:val="24"/>
        </w:rPr>
      </w:pPr>
    </w:p>
    <w:p w14:paraId="6E8DEC31" w14:textId="60A9AA22" w:rsidR="003D26CA" w:rsidRDefault="003D26CA" w:rsidP="00667BC9">
      <w:pPr>
        <w:spacing w:after="0" w:line="240" w:lineRule="auto"/>
        <w:jc w:val="center"/>
        <w:rPr>
          <w:rFonts w:ascii="Times New Roman" w:hAnsi="Times New Roman"/>
          <w:sz w:val="24"/>
          <w:szCs w:val="24"/>
        </w:rPr>
      </w:pPr>
    </w:p>
    <w:p w14:paraId="1DF7A9E0" w14:textId="628164A9" w:rsidR="003D26CA" w:rsidRDefault="003D26CA" w:rsidP="00667BC9">
      <w:pPr>
        <w:spacing w:after="0" w:line="240" w:lineRule="auto"/>
        <w:jc w:val="center"/>
        <w:rPr>
          <w:rFonts w:ascii="Times New Roman" w:hAnsi="Times New Roman"/>
          <w:sz w:val="24"/>
          <w:szCs w:val="24"/>
        </w:rPr>
      </w:pPr>
    </w:p>
    <w:p w14:paraId="5212E1EC" w14:textId="7C1249E4" w:rsidR="003D26CA" w:rsidRDefault="003D26CA" w:rsidP="00667BC9">
      <w:pPr>
        <w:spacing w:after="0" w:line="240" w:lineRule="auto"/>
        <w:jc w:val="center"/>
        <w:rPr>
          <w:rFonts w:ascii="Times New Roman" w:hAnsi="Times New Roman"/>
          <w:sz w:val="24"/>
          <w:szCs w:val="24"/>
        </w:rPr>
      </w:pPr>
    </w:p>
    <w:p w14:paraId="64A9B99F" w14:textId="503F230A" w:rsidR="00B309E0" w:rsidRDefault="00B309E0" w:rsidP="00667BC9">
      <w:pPr>
        <w:spacing w:after="0" w:line="240" w:lineRule="auto"/>
        <w:jc w:val="center"/>
        <w:rPr>
          <w:rFonts w:ascii="Times New Roman" w:hAnsi="Times New Roman"/>
          <w:sz w:val="24"/>
          <w:szCs w:val="24"/>
        </w:rPr>
      </w:pPr>
    </w:p>
    <w:p w14:paraId="5EF2246F" w14:textId="6966EE25" w:rsidR="00662529" w:rsidRDefault="00662529" w:rsidP="00667BC9">
      <w:pPr>
        <w:spacing w:after="0" w:line="240" w:lineRule="auto"/>
        <w:jc w:val="center"/>
        <w:rPr>
          <w:rFonts w:ascii="Times New Roman" w:hAnsi="Times New Roman"/>
          <w:sz w:val="24"/>
          <w:szCs w:val="24"/>
        </w:rPr>
      </w:pPr>
    </w:p>
    <w:p w14:paraId="4BC5D812" w14:textId="2D170C38" w:rsidR="00F230B9" w:rsidRPr="00E2373F" w:rsidRDefault="00F230B9" w:rsidP="00662529">
      <w:pPr>
        <w:pStyle w:val="Ttulo3"/>
        <w:numPr>
          <w:ilvl w:val="2"/>
          <w:numId w:val="13"/>
        </w:numPr>
        <w:spacing w:line="240" w:lineRule="auto"/>
        <w:ind w:left="0" w:firstLine="0"/>
      </w:pPr>
      <w:bookmarkStart w:id="49" w:name="_Toc99455333"/>
      <w:r w:rsidRPr="00E2373F">
        <w:t>Arrendador</w:t>
      </w:r>
      <w:bookmarkEnd w:id="49"/>
    </w:p>
    <w:p w14:paraId="5CBC958D" w14:textId="77777777" w:rsidR="00662529" w:rsidRDefault="00662529" w:rsidP="00662529">
      <w:pPr>
        <w:spacing w:after="0" w:line="240" w:lineRule="auto"/>
        <w:jc w:val="both"/>
        <w:rPr>
          <w:rFonts w:ascii="Times New Roman" w:hAnsi="Times New Roman"/>
          <w:sz w:val="24"/>
          <w:szCs w:val="24"/>
        </w:rPr>
      </w:pPr>
    </w:p>
    <w:p w14:paraId="69D4FD5E" w14:textId="3BF5786A" w:rsidR="00965676" w:rsidRDefault="00D247F2" w:rsidP="00662529">
      <w:pPr>
        <w:spacing w:after="0" w:line="240" w:lineRule="auto"/>
        <w:jc w:val="both"/>
        <w:rPr>
          <w:rFonts w:ascii="Times New Roman" w:hAnsi="Times New Roman"/>
          <w:sz w:val="24"/>
          <w:szCs w:val="24"/>
        </w:rPr>
      </w:pPr>
      <w:r>
        <w:rPr>
          <w:rFonts w:ascii="Times New Roman" w:hAnsi="Times New Roman"/>
          <w:sz w:val="24"/>
          <w:szCs w:val="24"/>
        </w:rPr>
        <w:t>La</w:t>
      </w:r>
      <w:r w:rsidR="00EA3B6B" w:rsidRPr="00EA3B6B">
        <w:rPr>
          <w:rFonts w:ascii="Times New Roman" w:hAnsi="Times New Roman"/>
          <w:sz w:val="24"/>
          <w:szCs w:val="24"/>
        </w:rPr>
        <w:t xml:space="preserve"> entidad </w:t>
      </w:r>
      <w:r>
        <w:rPr>
          <w:rFonts w:ascii="Times New Roman" w:hAnsi="Times New Roman"/>
          <w:sz w:val="24"/>
          <w:szCs w:val="24"/>
        </w:rPr>
        <w:t xml:space="preserve">mantuvo </w:t>
      </w:r>
      <w:r w:rsidR="00EA3B6B" w:rsidRPr="00EA3B6B">
        <w:rPr>
          <w:rFonts w:ascii="Times New Roman" w:hAnsi="Times New Roman"/>
          <w:sz w:val="24"/>
          <w:szCs w:val="24"/>
        </w:rPr>
        <w:t xml:space="preserve">un contrato de arrendamiento operativo </w:t>
      </w:r>
      <w:r w:rsidR="001B7121">
        <w:rPr>
          <w:rFonts w:ascii="Times New Roman" w:hAnsi="Times New Roman"/>
          <w:sz w:val="24"/>
          <w:szCs w:val="24"/>
        </w:rPr>
        <w:t>hasta el 30 de abril del 2020</w:t>
      </w:r>
      <w:r>
        <w:rPr>
          <w:rFonts w:ascii="Times New Roman" w:hAnsi="Times New Roman"/>
          <w:sz w:val="24"/>
          <w:szCs w:val="24"/>
        </w:rPr>
        <w:t xml:space="preserve">, </w:t>
      </w:r>
      <w:r w:rsidR="00EA3B6B" w:rsidRPr="00EA3B6B">
        <w:rPr>
          <w:rFonts w:ascii="Times New Roman" w:hAnsi="Times New Roman"/>
          <w:sz w:val="24"/>
          <w:szCs w:val="24"/>
        </w:rPr>
        <w:t>correspondiente a una pr</w:t>
      </w:r>
      <w:r w:rsidR="001B7121">
        <w:rPr>
          <w:rFonts w:ascii="Times New Roman" w:hAnsi="Times New Roman"/>
          <w:sz w:val="24"/>
          <w:szCs w:val="24"/>
        </w:rPr>
        <w:t xml:space="preserve">opiedad de inversión, que es un </w:t>
      </w:r>
      <w:r w:rsidR="00EA3B6B" w:rsidRPr="00EA3B6B">
        <w:rPr>
          <w:rFonts w:ascii="Times New Roman" w:hAnsi="Times New Roman"/>
          <w:sz w:val="24"/>
          <w:szCs w:val="24"/>
        </w:rPr>
        <w:t>parqueadero ubic</w:t>
      </w:r>
      <w:r w:rsidR="00386C78">
        <w:rPr>
          <w:rFonts w:ascii="Times New Roman" w:hAnsi="Times New Roman"/>
          <w:sz w:val="24"/>
          <w:szCs w:val="24"/>
        </w:rPr>
        <w:t xml:space="preserve">ado en la carrera 4ª. No.17-48. </w:t>
      </w:r>
      <w:r w:rsidR="00EA3B6B" w:rsidRPr="00EA3B6B">
        <w:rPr>
          <w:rFonts w:ascii="Times New Roman" w:hAnsi="Times New Roman"/>
          <w:sz w:val="24"/>
          <w:szCs w:val="24"/>
        </w:rPr>
        <w:t xml:space="preserve">Los pagos futuros de arrendamiento al </w:t>
      </w:r>
      <w:r w:rsidR="00432519">
        <w:rPr>
          <w:rFonts w:ascii="Times New Roman" w:hAnsi="Times New Roman"/>
          <w:sz w:val="24"/>
          <w:szCs w:val="24"/>
        </w:rPr>
        <w:t>31 de marzo de 2022 y 31 de marzo de 2021</w:t>
      </w:r>
      <w:r w:rsidR="00EC728B">
        <w:rPr>
          <w:rFonts w:ascii="Times New Roman" w:hAnsi="Times New Roman"/>
          <w:sz w:val="24"/>
          <w:szCs w:val="24"/>
        </w:rPr>
        <w:t xml:space="preserve"> </w:t>
      </w:r>
      <w:r w:rsidR="00EA3B6B" w:rsidRPr="00EA3B6B">
        <w:rPr>
          <w:rFonts w:ascii="Times New Roman" w:hAnsi="Times New Roman"/>
          <w:sz w:val="24"/>
          <w:szCs w:val="24"/>
        </w:rPr>
        <w:t>son los siguientes:</w:t>
      </w:r>
    </w:p>
    <w:p w14:paraId="25BC9BD4" w14:textId="745266F1" w:rsidR="004B2034" w:rsidRDefault="00662529" w:rsidP="00965676">
      <w:pPr>
        <w:spacing w:after="0" w:line="240" w:lineRule="auto"/>
        <w:jc w:val="both"/>
        <w:rPr>
          <w:rFonts w:ascii="Times New Roman" w:hAnsi="Times New Roman"/>
          <w:sz w:val="24"/>
          <w:szCs w:val="24"/>
        </w:rPr>
      </w:pPr>
      <w:r w:rsidRPr="00662529">
        <w:rPr>
          <w:noProof/>
        </w:rPr>
        <w:drawing>
          <wp:anchor distT="0" distB="0" distL="114300" distR="114300" simplePos="0" relativeHeight="252723200" behindDoc="1" locked="0" layoutInCell="1" allowOverlap="1" wp14:anchorId="470A9C57" wp14:editId="2F1D50BC">
            <wp:simplePos x="0" y="0"/>
            <wp:positionH relativeFrom="column">
              <wp:posOffset>977900</wp:posOffset>
            </wp:positionH>
            <wp:positionV relativeFrom="paragraph">
              <wp:posOffset>78740</wp:posOffset>
            </wp:positionV>
            <wp:extent cx="3886200" cy="660400"/>
            <wp:effectExtent l="0" t="0" r="0" b="635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V relativeFrom="margin">
              <wp14:pctHeight>0</wp14:pctHeight>
            </wp14:sizeRelV>
          </wp:anchor>
        </w:drawing>
      </w:r>
    </w:p>
    <w:p w14:paraId="7980D82A" w14:textId="39938DB6" w:rsidR="002947FD" w:rsidRDefault="002947FD" w:rsidP="00965676">
      <w:pPr>
        <w:spacing w:after="0" w:line="240" w:lineRule="auto"/>
        <w:jc w:val="both"/>
        <w:rPr>
          <w:rFonts w:ascii="Times New Roman" w:hAnsi="Times New Roman"/>
          <w:sz w:val="24"/>
          <w:szCs w:val="24"/>
        </w:rPr>
      </w:pPr>
    </w:p>
    <w:p w14:paraId="66BA65BD" w14:textId="47A363DC" w:rsidR="002C0F28" w:rsidRDefault="002C0F28" w:rsidP="00965676">
      <w:pPr>
        <w:spacing w:after="0" w:line="240" w:lineRule="auto"/>
        <w:jc w:val="both"/>
        <w:rPr>
          <w:rFonts w:ascii="Times New Roman" w:hAnsi="Times New Roman"/>
          <w:sz w:val="24"/>
          <w:szCs w:val="24"/>
        </w:rPr>
      </w:pPr>
    </w:p>
    <w:p w14:paraId="37D47454" w14:textId="5DA9E95E" w:rsidR="002C0F28" w:rsidRDefault="002C0F28" w:rsidP="00965676">
      <w:pPr>
        <w:spacing w:after="0" w:line="240" w:lineRule="auto"/>
        <w:jc w:val="both"/>
        <w:rPr>
          <w:rFonts w:ascii="Times New Roman" w:hAnsi="Times New Roman"/>
          <w:sz w:val="24"/>
          <w:szCs w:val="24"/>
        </w:rPr>
      </w:pPr>
    </w:p>
    <w:p w14:paraId="452D22F1" w14:textId="3AF0C3EA" w:rsidR="00F230B9" w:rsidRPr="00D41C26" w:rsidRDefault="00F230B9" w:rsidP="00425DA9">
      <w:pPr>
        <w:pStyle w:val="Prrafodelista"/>
        <w:numPr>
          <w:ilvl w:val="3"/>
          <w:numId w:val="13"/>
        </w:numPr>
        <w:spacing w:after="0" w:line="240" w:lineRule="auto"/>
        <w:ind w:left="993" w:hanging="993"/>
        <w:jc w:val="both"/>
        <w:rPr>
          <w:rFonts w:ascii="Times New Roman" w:hAnsi="Times New Roman"/>
          <w:b/>
          <w:bCs/>
          <w:sz w:val="24"/>
          <w:szCs w:val="24"/>
        </w:rPr>
      </w:pPr>
      <w:r w:rsidRPr="00D41C26">
        <w:rPr>
          <w:rFonts w:ascii="Times New Roman" w:hAnsi="Times New Roman"/>
          <w:b/>
          <w:bCs/>
          <w:sz w:val="24"/>
          <w:szCs w:val="24"/>
        </w:rPr>
        <w:lastRenderedPageBreak/>
        <w:t>Seguimiento de Cuentas por cobrar</w:t>
      </w:r>
    </w:p>
    <w:p w14:paraId="629BBEDD" w14:textId="1F7F1EF2" w:rsidR="00EC4B21" w:rsidRDefault="00662529" w:rsidP="00CF26CB">
      <w:pPr>
        <w:spacing w:after="0" w:line="240" w:lineRule="auto"/>
        <w:jc w:val="both"/>
        <w:rPr>
          <w:rFonts w:ascii="Times New Roman" w:hAnsi="Times New Roman"/>
          <w:sz w:val="24"/>
          <w:szCs w:val="24"/>
        </w:rPr>
      </w:pPr>
      <w:r w:rsidRPr="00662529">
        <w:rPr>
          <w:noProof/>
        </w:rPr>
        <w:drawing>
          <wp:anchor distT="0" distB="0" distL="114300" distR="114300" simplePos="0" relativeHeight="252724224" behindDoc="1" locked="0" layoutInCell="1" allowOverlap="1" wp14:anchorId="61A9E74F" wp14:editId="461F92CF">
            <wp:simplePos x="0" y="0"/>
            <wp:positionH relativeFrom="column">
              <wp:posOffset>0</wp:posOffset>
            </wp:positionH>
            <wp:positionV relativeFrom="paragraph">
              <wp:posOffset>111760</wp:posOffset>
            </wp:positionV>
            <wp:extent cx="5881370" cy="1374140"/>
            <wp:effectExtent l="0" t="0" r="508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81370" cy="1374140"/>
                    </a:xfrm>
                    <a:prstGeom prst="rect">
                      <a:avLst/>
                    </a:prstGeom>
                    <a:noFill/>
                    <a:ln>
                      <a:noFill/>
                    </a:ln>
                  </pic:spPr>
                </pic:pic>
              </a:graphicData>
            </a:graphic>
          </wp:anchor>
        </w:drawing>
      </w:r>
    </w:p>
    <w:p w14:paraId="2DB2BF98" w14:textId="6D2140A7" w:rsidR="00CF26CB" w:rsidRDefault="00CF26CB" w:rsidP="00CF26CB">
      <w:pPr>
        <w:spacing w:after="0" w:line="240" w:lineRule="auto"/>
        <w:jc w:val="both"/>
        <w:rPr>
          <w:rFonts w:ascii="Times New Roman" w:hAnsi="Times New Roman"/>
          <w:sz w:val="24"/>
          <w:szCs w:val="24"/>
        </w:rPr>
      </w:pPr>
    </w:p>
    <w:p w14:paraId="3A33BD63" w14:textId="4124534D" w:rsidR="00CF26CB" w:rsidRPr="00CF26CB" w:rsidRDefault="00CF26CB" w:rsidP="00CF26CB">
      <w:pPr>
        <w:spacing w:after="0" w:line="240" w:lineRule="auto"/>
        <w:jc w:val="both"/>
        <w:rPr>
          <w:rFonts w:ascii="Times New Roman" w:hAnsi="Times New Roman"/>
          <w:sz w:val="24"/>
          <w:szCs w:val="24"/>
        </w:rPr>
      </w:pPr>
    </w:p>
    <w:p w14:paraId="31FFC458" w14:textId="473571EE" w:rsidR="00306F85" w:rsidRDefault="00306F85" w:rsidP="00667BC9">
      <w:pPr>
        <w:pStyle w:val="Prrafodelista"/>
        <w:spacing w:after="0" w:line="240" w:lineRule="auto"/>
        <w:jc w:val="both"/>
        <w:rPr>
          <w:rFonts w:ascii="Times New Roman" w:hAnsi="Times New Roman"/>
          <w:sz w:val="24"/>
          <w:szCs w:val="24"/>
        </w:rPr>
      </w:pPr>
    </w:p>
    <w:p w14:paraId="001AD5F5" w14:textId="408135AE" w:rsidR="00306F85" w:rsidRDefault="00306F85" w:rsidP="00667BC9">
      <w:pPr>
        <w:pStyle w:val="Prrafodelista"/>
        <w:spacing w:after="0" w:line="240" w:lineRule="auto"/>
        <w:jc w:val="both"/>
        <w:rPr>
          <w:rFonts w:ascii="Times New Roman" w:hAnsi="Times New Roman"/>
          <w:sz w:val="24"/>
          <w:szCs w:val="24"/>
        </w:rPr>
      </w:pPr>
    </w:p>
    <w:p w14:paraId="1EB9DB09" w14:textId="4EE7BEF6" w:rsidR="00306F85" w:rsidRDefault="00306F85" w:rsidP="00667BC9">
      <w:pPr>
        <w:pStyle w:val="Prrafodelista"/>
        <w:spacing w:after="0" w:line="240" w:lineRule="auto"/>
        <w:jc w:val="both"/>
        <w:rPr>
          <w:rFonts w:ascii="Times New Roman" w:hAnsi="Times New Roman"/>
          <w:sz w:val="24"/>
          <w:szCs w:val="24"/>
        </w:rPr>
      </w:pPr>
    </w:p>
    <w:p w14:paraId="636A2E56" w14:textId="39EBFF3B" w:rsidR="00D41C26" w:rsidRDefault="00D41C26" w:rsidP="00667BC9">
      <w:pPr>
        <w:pStyle w:val="Prrafodelista"/>
        <w:spacing w:after="0" w:line="240" w:lineRule="auto"/>
        <w:jc w:val="both"/>
        <w:rPr>
          <w:rFonts w:ascii="Times New Roman" w:hAnsi="Times New Roman"/>
          <w:sz w:val="24"/>
          <w:szCs w:val="24"/>
        </w:rPr>
      </w:pPr>
    </w:p>
    <w:p w14:paraId="4EEDF658" w14:textId="4495EF65" w:rsidR="00D41C26" w:rsidRDefault="00D41C26" w:rsidP="00667BC9">
      <w:pPr>
        <w:pStyle w:val="Prrafodelista"/>
        <w:spacing w:after="0" w:line="240" w:lineRule="auto"/>
        <w:jc w:val="both"/>
        <w:rPr>
          <w:rFonts w:ascii="Times New Roman" w:hAnsi="Times New Roman"/>
          <w:sz w:val="24"/>
          <w:szCs w:val="24"/>
        </w:rPr>
      </w:pPr>
    </w:p>
    <w:p w14:paraId="470DE0B1" w14:textId="21DB3321" w:rsidR="00D41C26" w:rsidRDefault="00D41C26" w:rsidP="00667BC9">
      <w:pPr>
        <w:pStyle w:val="Prrafodelista"/>
        <w:spacing w:after="0" w:line="240" w:lineRule="auto"/>
        <w:jc w:val="both"/>
        <w:rPr>
          <w:rFonts w:ascii="Times New Roman" w:hAnsi="Times New Roman"/>
          <w:sz w:val="24"/>
          <w:szCs w:val="24"/>
        </w:rPr>
      </w:pPr>
    </w:p>
    <w:p w14:paraId="79326569" w14:textId="17AAC32D" w:rsidR="00CC4F6E" w:rsidRDefault="00CC4F6E" w:rsidP="0025566B">
      <w:pPr>
        <w:pStyle w:val="Prrafodelista"/>
        <w:spacing w:after="0" w:line="240" w:lineRule="auto"/>
        <w:ind w:left="0"/>
        <w:jc w:val="both"/>
        <w:rPr>
          <w:rFonts w:ascii="Times New Roman" w:hAnsi="Times New Roman"/>
          <w:sz w:val="24"/>
          <w:szCs w:val="24"/>
        </w:rPr>
      </w:pPr>
      <w:r>
        <w:rPr>
          <w:rFonts w:ascii="Times New Roman" w:hAnsi="Times New Roman"/>
          <w:sz w:val="24"/>
          <w:szCs w:val="24"/>
        </w:rPr>
        <w:t xml:space="preserve">El saldo </w:t>
      </w:r>
      <w:r w:rsidR="003F42CF">
        <w:rPr>
          <w:rFonts w:ascii="Times New Roman" w:hAnsi="Times New Roman"/>
          <w:sz w:val="24"/>
          <w:szCs w:val="24"/>
        </w:rPr>
        <w:t xml:space="preserve">corresponde a la cuenta por </w:t>
      </w:r>
      <w:r w:rsidRPr="00CC4F6E">
        <w:rPr>
          <w:rFonts w:ascii="Times New Roman" w:hAnsi="Times New Roman"/>
          <w:sz w:val="24"/>
          <w:szCs w:val="24"/>
        </w:rPr>
        <w:t xml:space="preserve">cobrar vencida y no deteriorada </w:t>
      </w:r>
      <w:r w:rsidR="003F42CF">
        <w:rPr>
          <w:rFonts w:ascii="Times New Roman" w:hAnsi="Times New Roman"/>
          <w:sz w:val="24"/>
          <w:szCs w:val="24"/>
        </w:rPr>
        <w:t>de</w:t>
      </w:r>
      <w:r w:rsidRPr="00CC4F6E">
        <w:rPr>
          <w:rFonts w:ascii="Times New Roman" w:hAnsi="Times New Roman"/>
          <w:sz w:val="24"/>
          <w:szCs w:val="24"/>
        </w:rPr>
        <w:t xml:space="preserve"> Opera Inversiones Urbanas S.A.S; actualmente se están adelantando la gestión de cobro</w:t>
      </w:r>
      <w:r w:rsidR="003F42CF">
        <w:rPr>
          <w:rFonts w:ascii="Times New Roman" w:hAnsi="Times New Roman"/>
          <w:sz w:val="24"/>
          <w:szCs w:val="24"/>
        </w:rPr>
        <w:t xml:space="preserve"> pa</w:t>
      </w:r>
      <w:r w:rsidRPr="00CC4F6E">
        <w:rPr>
          <w:rFonts w:ascii="Times New Roman" w:hAnsi="Times New Roman"/>
          <w:sz w:val="24"/>
          <w:szCs w:val="24"/>
        </w:rPr>
        <w:t xml:space="preserve">ra </w:t>
      </w:r>
      <w:r w:rsidR="003F42CF">
        <w:rPr>
          <w:rFonts w:ascii="Times New Roman" w:hAnsi="Times New Roman"/>
          <w:sz w:val="24"/>
          <w:szCs w:val="24"/>
        </w:rPr>
        <w:t xml:space="preserve">la cancelación </w:t>
      </w:r>
      <w:r w:rsidRPr="00CC4F6E">
        <w:rPr>
          <w:rFonts w:ascii="Times New Roman" w:hAnsi="Times New Roman"/>
          <w:sz w:val="24"/>
          <w:szCs w:val="24"/>
        </w:rPr>
        <w:t>de esta cartera.</w:t>
      </w:r>
    </w:p>
    <w:p w14:paraId="6AFE8EBF" w14:textId="77777777" w:rsidR="00EC4B21" w:rsidRDefault="00EC4B21" w:rsidP="0025566B">
      <w:pPr>
        <w:pStyle w:val="Prrafodelista"/>
        <w:spacing w:after="0" w:line="240" w:lineRule="auto"/>
        <w:ind w:left="0"/>
        <w:jc w:val="both"/>
        <w:rPr>
          <w:rFonts w:ascii="Times New Roman" w:hAnsi="Times New Roman"/>
          <w:sz w:val="24"/>
          <w:szCs w:val="24"/>
        </w:rPr>
      </w:pPr>
    </w:p>
    <w:p w14:paraId="789E162A" w14:textId="77777777" w:rsidR="00F230B9" w:rsidRPr="00E2373F" w:rsidRDefault="00F230B9" w:rsidP="00B854B5">
      <w:pPr>
        <w:pStyle w:val="Ttulo3"/>
        <w:numPr>
          <w:ilvl w:val="2"/>
          <w:numId w:val="13"/>
        </w:numPr>
        <w:spacing w:line="240" w:lineRule="auto"/>
        <w:ind w:left="993" w:hanging="993"/>
      </w:pPr>
      <w:bookmarkStart w:id="50" w:name="_Toc99455334"/>
      <w:r w:rsidRPr="00E2373F">
        <w:t>Arrendatario</w:t>
      </w:r>
      <w:bookmarkEnd w:id="50"/>
    </w:p>
    <w:p w14:paraId="227F2702" w14:textId="77777777" w:rsidR="0025566B" w:rsidRDefault="0025566B" w:rsidP="0025566B">
      <w:pPr>
        <w:spacing w:after="0" w:line="240" w:lineRule="auto"/>
        <w:jc w:val="both"/>
        <w:rPr>
          <w:rFonts w:ascii="Times New Roman" w:hAnsi="Times New Roman"/>
          <w:sz w:val="24"/>
          <w:szCs w:val="24"/>
        </w:rPr>
      </w:pPr>
    </w:p>
    <w:p w14:paraId="4F01968B" w14:textId="2CFC278C" w:rsidR="00F230B9" w:rsidRDefault="00495AAD" w:rsidP="0025566B">
      <w:pPr>
        <w:spacing w:after="0" w:line="240" w:lineRule="auto"/>
        <w:jc w:val="both"/>
        <w:rPr>
          <w:rFonts w:ascii="Times New Roman" w:hAnsi="Times New Roman"/>
          <w:sz w:val="24"/>
          <w:szCs w:val="24"/>
        </w:rPr>
      </w:pPr>
      <w:r w:rsidRPr="00495AAD">
        <w:rPr>
          <w:rFonts w:ascii="Times New Roman" w:hAnsi="Times New Roman"/>
          <w:sz w:val="24"/>
          <w:szCs w:val="24"/>
        </w:rPr>
        <w:t xml:space="preserve">La entidad tiene firmado un contrato de arrendamiento operativo correspondiente a los pisos 16, 17, 18 de la torre 2, con un área total de </w:t>
      </w:r>
      <w:r w:rsidR="00532E4D">
        <w:rPr>
          <w:rFonts w:ascii="Times New Roman" w:hAnsi="Times New Roman"/>
          <w:sz w:val="24"/>
          <w:szCs w:val="24"/>
        </w:rPr>
        <w:t>3</w:t>
      </w:r>
      <w:r w:rsidRPr="00495AAD">
        <w:rPr>
          <w:rFonts w:ascii="Times New Roman" w:hAnsi="Times New Roman"/>
          <w:sz w:val="24"/>
          <w:szCs w:val="24"/>
        </w:rPr>
        <w:t>.</w:t>
      </w:r>
      <w:r w:rsidR="00532E4D">
        <w:rPr>
          <w:rFonts w:ascii="Times New Roman" w:hAnsi="Times New Roman"/>
          <w:sz w:val="24"/>
          <w:szCs w:val="24"/>
        </w:rPr>
        <w:t>71</w:t>
      </w:r>
      <w:r w:rsidR="007C6D13">
        <w:rPr>
          <w:rFonts w:ascii="Times New Roman" w:hAnsi="Times New Roman"/>
          <w:sz w:val="24"/>
          <w:szCs w:val="24"/>
        </w:rPr>
        <w:t xml:space="preserve">8,60 </w:t>
      </w:r>
      <w:r w:rsidRPr="00495AAD">
        <w:rPr>
          <w:rFonts w:ascii="Times New Roman" w:hAnsi="Times New Roman"/>
          <w:sz w:val="24"/>
          <w:szCs w:val="24"/>
        </w:rPr>
        <w:t xml:space="preserve">M2, del Edificio Elemento ubicado en la Avenida Calle 26 No. 69 - 76. Los pagos futuros de arrendamiento al </w:t>
      </w:r>
      <w:r w:rsidR="00432519">
        <w:rPr>
          <w:rFonts w:ascii="Times New Roman" w:hAnsi="Times New Roman"/>
          <w:sz w:val="24"/>
          <w:szCs w:val="24"/>
        </w:rPr>
        <w:t>31 de marzo de 2022 y 31 de marzo de 2021</w:t>
      </w:r>
      <w:r w:rsidR="004A7811">
        <w:rPr>
          <w:rFonts w:ascii="Times New Roman" w:hAnsi="Times New Roman"/>
          <w:sz w:val="24"/>
          <w:szCs w:val="24"/>
        </w:rPr>
        <w:t xml:space="preserve"> </w:t>
      </w:r>
      <w:r w:rsidRPr="00495AAD">
        <w:rPr>
          <w:rFonts w:ascii="Times New Roman" w:hAnsi="Times New Roman"/>
          <w:sz w:val="24"/>
          <w:szCs w:val="24"/>
        </w:rPr>
        <w:t>son los siguientes:</w:t>
      </w:r>
    </w:p>
    <w:p w14:paraId="7F2EC315" w14:textId="0DDE8872" w:rsidR="009161FD" w:rsidRDefault="00662529" w:rsidP="0070760C">
      <w:pPr>
        <w:spacing w:after="0" w:line="240" w:lineRule="auto"/>
        <w:jc w:val="both"/>
        <w:rPr>
          <w:rFonts w:ascii="Times New Roman" w:hAnsi="Times New Roman"/>
          <w:sz w:val="24"/>
          <w:szCs w:val="24"/>
        </w:rPr>
      </w:pPr>
      <w:r w:rsidRPr="00662529">
        <w:rPr>
          <w:noProof/>
        </w:rPr>
        <w:drawing>
          <wp:anchor distT="0" distB="0" distL="114300" distR="114300" simplePos="0" relativeHeight="252725248" behindDoc="1" locked="0" layoutInCell="1" allowOverlap="1" wp14:anchorId="5878A8E4" wp14:editId="72B77F4E">
            <wp:simplePos x="0" y="0"/>
            <wp:positionH relativeFrom="column">
              <wp:posOffset>1092200</wp:posOffset>
            </wp:positionH>
            <wp:positionV relativeFrom="paragraph">
              <wp:posOffset>147320</wp:posOffset>
            </wp:positionV>
            <wp:extent cx="3886200" cy="698500"/>
            <wp:effectExtent l="0" t="0" r="0" b="635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86200" cy="698500"/>
                    </a:xfrm>
                    <a:prstGeom prst="rect">
                      <a:avLst/>
                    </a:prstGeom>
                    <a:noFill/>
                    <a:ln>
                      <a:noFill/>
                    </a:ln>
                  </pic:spPr>
                </pic:pic>
              </a:graphicData>
            </a:graphic>
          </wp:anchor>
        </w:drawing>
      </w:r>
    </w:p>
    <w:p w14:paraId="38D40A40" w14:textId="39BB24F4" w:rsidR="005476AF" w:rsidRDefault="005476AF" w:rsidP="0070760C">
      <w:pPr>
        <w:spacing w:after="0" w:line="240" w:lineRule="auto"/>
        <w:jc w:val="both"/>
        <w:rPr>
          <w:noProof/>
          <w:lang w:eastAsia="es-CO"/>
        </w:rPr>
      </w:pPr>
    </w:p>
    <w:p w14:paraId="77AE7AD0" w14:textId="11EE9F4C" w:rsidR="00EE57DB" w:rsidRDefault="00EE57DB" w:rsidP="0070760C">
      <w:pPr>
        <w:spacing w:after="0" w:line="240" w:lineRule="auto"/>
        <w:jc w:val="both"/>
        <w:rPr>
          <w:noProof/>
          <w:lang w:eastAsia="es-CO"/>
        </w:rPr>
      </w:pPr>
    </w:p>
    <w:p w14:paraId="2390AED4" w14:textId="33E7E6BC" w:rsidR="00B854B5" w:rsidRDefault="00B854B5" w:rsidP="0070760C">
      <w:pPr>
        <w:spacing w:after="0" w:line="240" w:lineRule="auto"/>
        <w:jc w:val="both"/>
        <w:rPr>
          <w:noProof/>
          <w:lang w:eastAsia="es-CO"/>
        </w:rPr>
      </w:pPr>
    </w:p>
    <w:p w14:paraId="628B93C2" w14:textId="77777777" w:rsidR="00662529" w:rsidRDefault="00662529" w:rsidP="0070760C">
      <w:pPr>
        <w:spacing w:after="0" w:line="240" w:lineRule="auto"/>
        <w:jc w:val="both"/>
        <w:rPr>
          <w:noProof/>
          <w:lang w:eastAsia="es-CO"/>
        </w:rPr>
      </w:pPr>
    </w:p>
    <w:p w14:paraId="7CBEA2D7" w14:textId="316C51A0" w:rsidR="004A7811" w:rsidRDefault="004A7811" w:rsidP="004A7811">
      <w:pPr>
        <w:spacing w:after="0" w:line="240" w:lineRule="auto"/>
        <w:jc w:val="center"/>
        <w:rPr>
          <w:rFonts w:ascii="Times New Roman" w:hAnsi="Times New Roman"/>
          <w:sz w:val="24"/>
          <w:szCs w:val="24"/>
        </w:rPr>
      </w:pPr>
    </w:p>
    <w:p w14:paraId="0AF93E2C" w14:textId="14E6C74B" w:rsidR="00F230B9" w:rsidRPr="00EC728B" w:rsidRDefault="00F230B9" w:rsidP="00425DA9">
      <w:pPr>
        <w:pStyle w:val="Prrafodelista"/>
        <w:numPr>
          <w:ilvl w:val="3"/>
          <w:numId w:val="13"/>
        </w:numPr>
        <w:spacing w:after="0" w:line="240" w:lineRule="auto"/>
        <w:ind w:left="993" w:hanging="993"/>
        <w:jc w:val="both"/>
        <w:rPr>
          <w:rFonts w:ascii="Times New Roman" w:hAnsi="Times New Roman"/>
          <w:b/>
          <w:sz w:val="24"/>
          <w:szCs w:val="24"/>
        </w:rPr>
      </w:pPr>
      <w:r w:rsidRPr="00EC728B">
        <w:rPr>
          <w:rFonts w:ascii="Times New Roman" w:hAnsi="Times New Roman"/>
          <w:b/>
          <w:sz w:val="24"/>
          <w:szCs w:val="24"/>
        </w:rPr>
        <w:t xml:space="preserve">Seguimiento de Cuentas por </w:t>
      </w:r>
      <w:r w:rsidR="0021047D" w:rsidRPr="00EC728B">
        <w:rPr>
          <w:rFonts w:ascii="Times New Roman" w:hAnsi="Times New Roman"/>
          <w:b/>
          <w:sz w:val="24"/>
          <w:szCs w:val="24"/>
        </w:rPr>
        <w:t>pagar</w:t>
      </w:r>
    </w:p>
    <w:p w14:paraId="16D2D223" w14:textId="74784A68" w:rsidR="00EC728B" w:rsidRDefault="00B168FC" w:rsidP="00667BC9">
      <w:pPr>
        <w:pStyle w:val="Prrafodelista"/>
        <w:spacing w:after="0" w:line="240" w:lineRule="auto"/>
        <w:jc w:val="both"/>
        <w:rPr>
          <w:noProof/>
          <w:lang w:eastAsia="es-CO"/>
        </w:rPr>
      </w:pPr>
      <w:r w:rsidRPr="00B168FC">
        <w:rPr>
          <w:noProof/>
        </w:rPr>
        <w:drawing>
          <wp:anchor distT="0" distB="0" distL="114300" distR="114300" simplePos="0" relativeHeight="252726272" behindDoc="1" locked="0" layoutInCell="1" allowOverlap="1" wp14:anchorId="1516730E" wp14:editId="19F3BDDC">
            <wp:simplePos x="0" y="0"/>
            <wp:positionH relativeFrom="column">
              <wp:posOffset>0</wp:posOffset>
            </wp:positionH>
            <wp:positionV relativeFrom="paragraph">
              <wp:posOffset>120650</wp:posOffset>
            </wp:positionV>
            <wp:extent cx="5881370" cy="1203960"/>
            <wp:effectExtent l="0" t="0" r="508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81370" cy="1203960"/>
                    </a:xfrm>
                    <a:prstGeom prst="rect">
                      <a:avLst/>
                    </a:prstGeom>
                    <a:noFill/>
                    <a:ln>
                      <a:noFill/>
                    </a:ln>
                  </pic:spPr>
                </pic:pic>
              </a:graphicData>
            </a:graphic>
          </wp:anchor>
        </w:drawing>
      </w:r>
    </w:p>
    <w:p w14:paraId="67145F1A" w14:textId="01434A3A" w:rsidR="003417E3" w:rsidRDefault="003417E3" w:rsidP="00667BC9">
      <w:pPr>
        <w:pStyle w:val="Prrafodelista"/>
        <w:spacing w:after="0" w:line="240" w:lineRule="auto"/>
        <w:jc w:val="both"/>
        <w:rPr>
          <w:rFonts w:ascii="Times New Roman" w:hAnsi="Times New Roman"/>
          <w:sz w:val="24"/>
          <w:szCs w:val="24"/>
        </w:rPr>
      </w:pPr>
    </w:p>
    <w:p w14:paraId="68B72C53" w14:textId="77777777" w:rsidR="003417E3" w:rsidRPr="003417E3" w:rsidRDefault="003417E3" w:rsidP="003417E3"/>
    <w:p w14:paraId="7EEFCBA0" w14:textId="77777777" w:rsidR="003417E3" w:rsidRPr="003417E3" w:rsidRDefault="003417E3" w:rsidP="003417E3"/>
    <w:p w14:paraId="2948045A" w14:textId="7733079A" w:rsidR="003417E3" w:rsidRDefault="003417E3" w:rsidP="003417E3">
      <w:pPr>
        <w:spacing w:after="0" w:line="240" w:lineRule="auto"/>
      </w:pPr>
    </w:p>
    <w:p w14:paraId="7BB79601" w14:textId="6FFB8433" w:rsidR="003417E3" w:rsidRDefault="003417E3" w:rsidP="003417E3">
      <w:pPr>
        <w:spacing w:after="0" w:line="240" w:lineRule="auto"/>
      </w:pPr>
    </w:p>
    <w:p w14:paraId="1F0B790A" w14:textId="33C1C97C" w:rsidR="003417E3" w:rsidRDefault="003417E3" w:rsidP="003417E3">
      <w:pPr>
        <w:spacing w:after="0" w:line="240" w:lineRule="auto"/>
      </w:pPr>
    </w:p>
    <w:p w14:paraId="4FA418DF" w14:textId="19F19489" w:rsidR="004F4C64" w:rsidRDefault="003417E3" w:rsidP="004F4C64">
      <w:pPr>
        <w:spacing w:after="0" w:line="240" w:lineRule="auto"/>
        <w:jc w:val="both"/>
        <w:rPr>
          <w:rFonts w:ascii="Times New Roman" w:hAnsi="Times New Roman"/>
          <w:bCs/>
        </w:rPr>
      </w:pPr>
      <w:bookmarkStart w:id="51" w:name="_Toc64739298"/>
      <w:bookmarkStart w:id="52" w:name="_Toc64973304"/>
      <w:r w:rsidRPr="003417E3">
        <w:rPr>
          <w:rFonts w:ascii="Times New Roman" w:hAnsi="Times New Roman"/>
          <w:bCs/>
        </w:rPr>
        <w:t>Cada 12 meses, contados a partir de firma del contrato, el valor del canon de arrendamiento se incrementará a un porcentaje igual al Índice de Precios al Consumidor establecidos por el DANE más un punto adicional (IPC + 1).</w:t>
      </w:r>
      <w:bookmarkStart w:id="53" w:name="_Toc64739299"/>
      <w:bookmarkStart w:id="54" w:name="_Toc64973305"/>
      <w:bookmarkStart w:id="55" w:name="_Toc66804791"/>
      <w:bookmarkEnd w:id="51"/>
      <w:bookmarkEnd w:id="52"/>
    </w:p>
    <w:p w14:paraId="0AFB81C2" w14:textId="77777777" w:rsidR="002947FD" w:rsidRDefault="002947FD" w:rsidP="004F4C64">
      <w:pPr>
        <w:spacing w:after="0" w:line="240" w:lineRule="auto"/>
        <w:jc w:val="both"/>
        <w:rPr>
          <w:rFonts w:ascii="Times New Roman" w:hAnsi="Times New Roman"/>
          <w:bCs/>
        </w:rPr>
      </w:pPr>
    </w:p>
    <w:p w14:paraId="383B1A7B" w14:textId="77777777" w:rsidR="0025566B" w:rsidRDefault="006F76E5" w:rsidP="00DD222D">
      <w:pPr>
        <w:spacing w:after="0" w:line="240" w:lineRule="auto"/>
        <w:jc w:val="both"/>
        <w:rPr>
          <w:rFonts w:ascii="Times New Roman" w:hAnsi="Times New Roman"/>
          <w:bCs/>
        </w:rPr>
      </w:pPr>
      <w:r w:rsidRPr="004F4C64">
        <w:rPr>
          <w:rFonts w:ascii="Times New Roman" w:hAnsi="Times New Roman"/>
          <w:bCs/>
        </w:rPr>
        <w:t xml:space="preserve">Los pagos por arrendamiento son reconocidos como gasto en el resultado del período (ver Nota </w:t>
      </w:r>
      <w:r w:rsidR="00D247F2" w:rsidRPr="004F4C64">
        <w:rPr>
          <w:rFonts w:ascii="Times New Roman" w:hAnsi="Times New Roman"/>
          <w:bCs/>
        </w:rPr>
        <w:t>29</w:t>
      </w:r>
      <w:r w:rsidR="005B5001" w:rsidRPr="004F4C64">
        <w:rPr>
          <w:rFonts w:ascii="Times New Roman" w:hAnsi="Times New Roman"/>
          <w:bCs/>
        </w:rPr>
        <w:t>.1</w:t>
      </w:r>
      <w:r w:rsidRPr="004F4C64">
        <w:rPr>
          <w:rFonts w:ascii="Times New Roman" w:hAnsi="Times New Roman"/>
          <w:bCs/>
        </w:rPr>
        <w:t>).</w:t>
      </w:r>
      <w:bookmarkStart w:id="56" w:name="_Toc64739300"/>
      <w:bookmarkStart w:id="57" w:name="_Toc64973306"/>
      <w:bookmarkStart w:id="58" w:name="_Toc66804792"/>
      <w:bookmarkStart w:id="59" w:name="_Toc68891896"/>
      <w:bookmarkStart w:id="60" w:name="_Toc73043613"/>
      <w:bookmarkEnd w:id="53"/>
      <w:bookmarkEnd w:id="54"/>
      <w:bookmarkEnd w:id="55"/>
      <w:r w:rsidR="0025566B">
        <w:rPr>
          <w:rFonts w:ascii="Times New Roman" w:hAnsi="Times New Roman"/>
          <w:bCs/>
        </w:rPr>
        <w:t xml:space="preserve"> </w:t>
      </w:r>
    </w:p>
    <w:p w14:paraId="46ADF089" w14:textId="77777777" w:rsidR="0025566B" w:rsidRDefault="0025566B" w:rsidP="00DD222D">
      <w:pPr>
        <w:spacing w:after="0" w:line="240" w:lineRule="auto"/>
        <w:jc w:val="both"/>
        <w:rPr>
          <w:rFonts w:ascii="Times New Roman" w:hAnsi="Times New Roman"/>
          <w:bCs/>
        </w:rPr>
      </w:pPr>
    </w:p>
    <w:p w14:paraId="24ED1117" w14:textId="4E73AC83" w:rsidR="001369ED" w:rsidRPr="0025566B" w:rsidRDefault="006F76E5" w:rsidP="00DD222D">
      <w:pPr>
        <w:spacing w:after="0" w:line="240" w:lineRule="auto"/>
        <w:jc w:val="both"/>
        <w:rPr>
          <w:rFonts w:ascii="Times New Roman" w:hAnsi="Times New Roman"/>
          <w:bCs/>
        </w:rPr>
      </w:pPr>
      <w:r w:rsidRPr="0025566B">
        <w:rPr>
          <w:rFonts w:ascii="Times New Roman" w:hAnsi="Times New Roman"/>
          <w:bCs/>
        </w:rPr>
        <w:t>El Instituto no posee contratos de arrendamientos financieros, ni como arrendador, ni como arrendatario.</w:t>
      </w:r>
      <w:bookmarkEnd w:id="56"/>
      <w:bookmarkEnd w:id="57"/>
      <w:bookmarkEnd w:id="58"/>
      <w:bookmarkEnd w:id="59"/>
      <w:bookmarkEnd w:id="60"/>
    </w:p>
    <w:p w14:paraId="2A5C9411" w14:textId="3CA92C43" w:rsidR="00662529" w:rsidRDefault="00662529" w:rsidP="00F00A5F">
      <w:pPr>
        <w:pStyle w:val="Ttulo1"/>
      </w:pPr>
      <w:bookmarkStart w:id="61" w:name="_Toc99455335"/>
    </w:p>
    <w:p w14:paraId="4113E93F" w14:textId="77777777" w:rsidR="00662529" w:rsidRPr="00662529" w:rsidRDefault="00662529" w:rsidP="00662529"/>
    <w:p w14:paraId="7A9A1F49" w14:textId="0DD11D45" w:rsidR="002E0C1C" w:rsidRPr="00E2373F" w:rsidRDefault="00A91D6B" w:rsidP="008D3668">
      <w:pPr>
        <w:pStyle w:val="Ttulo1"/>
      </w:pPr>
      <w:r w:rsidRPr="00E2373F">
        <w:lastRenderedPageBreak/>
        <w:t>NOTA 2</w:t>
      </w:r>
      <w:r w:rsidR="004B51B8" w:rsidRPr="00E2373F">
        <w:t>1</w:t>
      </w:r>
      <w:r w:rsidRPr="00E2373F">
        <w:t>. CUENTAS POR PAGAR</w:t>
      </w:r>
      <w:bookmarkEnd w:id="61"/>
    </w:p>
    <w:p w14:paraId="13354EBF" w14:textId="41F4BAE5" w:rsidR="00F00A5F" w:rsidRDefault="00F00A5F" w:rsidP="008D3668">
      <w:pPr>
        <w:pStyle w:val="Ttulo2"/>
        <w:numPr>
          <w:ilvl w:val="0"/>
          <w:numId w:val="0"/>
        </w:numPr>
        <w:spacing w:line="240" w:lineRule="auto"/>
        <w:rPr>
          <w:szCs w:val="22"/>
        </w:rPr>
      </w:pPr>
      <w:bookmarkStart w:id="62" w:name="_Toc99455336"/>
    </w:p>
    <w:p w14:paraId="532D534F" w14:textId="3D053202" w:rsidR="00B61CE4" w:rsidRPr="00A608DF" w:rsidRDefault="00B61CE4" w:rsidP="008D3668">
      <w:pPr>
        <w:pStyle w:val="Ttulo2"/>
        <w:numPr>
          <w:ilvl w:val="0"/>
          <w:numId w:val="0"/>
        </w:numPr>
        <w:spacing w:line="240" w:lineRule="auto"/>
        <w:rPr>
          <w:szCs w:val="22"/>
        </w:rPr>
      </w:pPr>
      <w:r w:rsidRPr="00A608DF">
        <w:rPr>
          <w:szCs w:val="22"/>
        </w:rPr>
        <w:t>Composición</w:t>
      </w:r>
      <w:bookmarkEnd w:id="62"/>
    </w:p>
    <w:p w14:paraId="0CE1F224" w14:textId="330157E9" w:rsidR="00B61CE4" w:rsidRDefault="00B61CE4" w:rsidP="008D3668">
      <w:pPr>
        <w:spacing w:after="0" w:line="240" w:lineRule="auto"/>
        <w:jc w:val="both"/>
        <w:rPr>
          <w:rFonts w:ascii="Times New Roman" w:hAnsi="Times New Roman"/>
          <w:b/>
          <w:sz w:val="24"/>
          <w:szCs w:val="24"/>
        </w:rPr>
      </w:pPr>
    </w:p>
    <w:p w14:paraId="116B2CBF" w14:textId="36BA7F35" w:rsidR="00A961BB" w:rsidRPr="00A961BB" w:rsidRDefault="00A961BB" w:rsidP="008D3668">
      <w:pPr>
        <w:spacing w:after="0" w:line="240" w:lineRule="auto"/>
        <w:jc w:val="both"/>
        <w:rPr>
          <w:rFonts w:ascii="Times New Roman" w:hAnsi="Times New Roman"/>
          <w:bCs/>
          <w:sz w:val="24"/>
          <w:szCs w:val="24"/>
        </w:rPr>
      </w:pPr>
      <w:r w:rsidRPr="00A961BB">
        <w:rPr>
          <w:rFonts w:ascii="Times New Roman" w:hAnsi="Times New Roman"/>
          <w:bCs/>
          <w:sz w:val="24"/>
          <w:szCs w:val="24"/>
        </w:rPr>
        <w:t xml:space="preserve">La desagregación de las cuentas por pagar presentadas en el estado de situación financiera individual al </w:t>
      </w:r>
      <w:r w:rsidR="00432519">
        <w:rPr>
          <w:rFonts w:ascii="Times New Roman" w:hAnsi="Times New Roman"/>
          <w:bCs/>
          <w:sz w:val="24"/>
          <w:szCs w:val="24"/>
        </w:rPr>
        <w:t>31 de marzo de 2022 y 31 de marzo de 2021</w:t>
      </w:r>
      <w:r w:rsidR="00EC728B">
        <w:rPr>
          <w:rFonts w:ascii="Times New Roman" w:hAnsi="Times New Roman"/>
          <w:bCs/>
          <w:sz w:val="24"/>
          <w:szCs w:val="24"/>
        </w:rPr>
        <w:t xml:space="preserve"> </w:t>
      </w:r>
      <w:r w:rsidRPr="00A961BB">
        <w:rPr>
          <w:rFonts w:ascii="Times New Roman" w:hAnsi="Times New Roman"/>
          <w:bCs/>
          <w:sz w:val="24"/>
          <w:szCs w:val="24"/>
        </w:rPr>
        <w:t>es la siguiente:</w:t>
      </w:r>
    </w:p>
    <w:p w14:paraId="1CE2816A" w14:textId="34BE578B" w:rsidR="00B61CE4" w:rsidRDefault="00C76CF3" w:rsidP="00A961BB">
      <w:pPr>
        <w:spacing w:after="0" w:line="240" w:lineRule="auto"/>
        <w:jc w:val="both"/>
        <w:rPr>
          <w:noProof/>
        </w:rPr>
      </w:pPr>
      <w:r w:rsidRPr="00C76CF3">
        <w:rPr>
          <w:noProof/>
        </w:rPr>
        <w:drawing>
          <wp:anchor distT="0" distB="0" distL="114300" distR="114300" simplePos="0" relativeHeight="252727296" behindDoc="1" locked="0" layoutInCell="1" allowOverlap="1" wp14:anchorId="6C2223EE" wp14:editId="4F6133B5">
            <wp:simplePos x="0" y="0"/>
            <wp:positionH relativeFrom="column">
              <wp:posOffset>0</wp:posOffset>
            </wp:positionH>
            <wp:positionV relativeFrom="paragraph">
              <wp:posOffset>33655</wp:posOffset>
            </wp:positionV>
            <wp:extent cx="5881370" cy="1362710"/>
            <wp:effectExtent l="0" t="0" r="5080" b="889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81370" cy="1362710"/>
                    </a:xfrm>
                    <a:prstGeom prst="rect">
                      <a:avLst/>
                    </a:prstGeom>
                    <a:noFill/>
                    <a:ln>
                      <a:noFill/>
                    </a:ln>
                  </pic:spPr>
                </pic:pic>
              </a:graphicData>
            </a:graphic>
          </wp:anchor>
        </w:drawing>
      </w:r>
    </w:p>
    <w:p w14:paraId="281838F3" w14:textId="6ECB190E" w:rsidR="00D93B60" w:rsidRDefault="00D93B60" w:rsidP="00A961BB">
      <w:pPr>
        <w:spacing w:after="0" w:line="240" w:lineRule="auto"/>
        <w:jc w:val="both"/>
        <w:rPr>
          <w:noProof/>
          <w:lang w:eastAsia="es-CO"/>
        </w:rPr>
      </w:pPr>
    </w:p>
    <w:p w14:paraId="53BA00FB" w14:textId="2D248883" w:rsidR="00C01D44" w:rsidRDefault="00C01D44" w:rsidP="00A961BB">
      <w:pPr>
        <w:spacing w:after="0" w:line="240" w:lineRule="auto"/>
        <w:jc w:val="both"/>
        <w:rPr>
          <w:rFonts w:ascii="Times New Roman" w:hAnsi="Times New Roman"/>
          <w:sz w:val="24"/>
          <w:szCs w:val="24"/>
          <w:u w:val="single"/>
        </w:rPr>
      </w:pPr>
    </w:p>
    <w:p w14:paraId="0B1EF052" w14:textId="7D918D78" w:rsidR="009161FD" w:rsidRDefault="009161FD" w:rsidP="00DE4E74">
      <w:pPr>
        <w:pStyle w:val="Prrafodelista"/>
        <w:spacing w:after="0" w:line="240" w:lineRule="auto"/>
        <w:ind w:left="0"/>
        <w:rPr>
          <w:rFonts w:ascii="Times New Roman" w:hAnsi="Times New Roman"/>
          <w:noProof/>
          <w:sz w:val="24"/>
          <w:szCs w:val="24"/>
        </w:rPr>
      </w:pPr>
    </w:p>
    <w:p w14:paraId="4B2ABBC3" w14:textId="21B4C7B3" w:rsidR="009161FD" w:rsidRDefault="009161FD" w:rsidP="00DE4E74">
      <w:pPr>
        <w:pStyle w:val="Prrafodelista"/>
        <w:spacing w:after="0" w:line="240" w:lineRule="auto"/>
        <w:ind w:left="0"/>
        <w:rPr>
          <w:rFonts w:ascii="Times New Roman" w:hAnsi="Times New Roman"/>
          <w:noProof/>
          <w:sz w:val="24"/>
          <w:szCs w:val="24"/>
        </w:rPr>
      </w:pPr>
    </w:p>
    <w:p w14:paraId="4F804D52" w14:textId="07EFA5F2" w:rsidR="009161FD" w:rsidRDefault="009161FD" w:rsidP="00DE4E74">
      <w:pPr>
        <w:pStyle w:val="Prrafodelista"/>
        <w:spacing w:after="0" w:line="240" w:lineRule="auto"/>
        <w:ind w:left="0"/>
        <w:rPr>
          <w:rFonts w:ascii="Times New Roman" w:hAnsi="Times New Roman"/>
          <w:noProof/>
          <w:sz w:val="24"/>
          <w:szCs w:val="24"/>
        </w:rPr>
      </w:pPr>
    </w:p>
    <w:p w14:paraId="4587043D" w14:textId="29DA0CC7" w:rsidR="009161FD" w:rsidRDefault="009161FD" w:rsidP="00DE4E74">
      <w:pPr>
        <w:pStyle w:val="Prrafodelista"/>
        <w:spacing w:after="0" w:line="240" w:lineRule="auto"/>
        <w:ind w:left="0"/>
        <w:rPr>
          <w:rFonts w:ascii="Times New Roman" w:hAnsi="Times New Roman"/>
          <w:noProof/>
          <w:sz w:val="24"/>
          <w:szCs w:val="24"/>
        </w:rPr>
      </w:pPr>
    </w:p>
    <w:p w14:paraId="76EAD936" w14:textId="66AD3376" w:rsidR="009161FD" w:rsidRDefault="009161FD" w:rsidP="00DE4E74">
      <w:pPr>
        <w:pStyle w:val="Prrafodelista"/>
        <w:spacing w:after="0" w:line="240" w:lineRule="auto"/>
        <w:ind w:left="0"/>
        <w:rPr>
          <w:rFonts w:ascii="Times New Roman" w:hAnsi="Times New Roman"/>
          <w:noProof/>
          <w:sz w:val="24"/>
          <w:szCs w:val="24"/>
        </w:rPr>
      </w:pPr>
    </w:p>
    <w:p w14:paraId="3749746A" w14:textId="2A9224A7" w:rsidR="00DE4E74" w:rsidRPr="00DE4E74" w:rsidRDefault="00DE4E74" w:rsidP="00DE4E74">
      <w:pPr>
        <w:pStyle w:val="Prrafodelista"/>
        <w:spacing w:after="0" w:line="240" w:lineRule="auto"/>
        <w:ind w:left="0"/>
        <w:rPr>
          <w:rFonts w:ascii="Times New Roman" w:hAnsi="Times New Roman"/>
          <w:noProof/>
          <w:sz w:val="24"/>
          <w:szCs w:val="24"/>
        </w:rPr>
      </w:pPr>
      <w:r w:rsidRPr="00DE4E74">
        <w:rPr>
          <w:rFonts w:ascii="Times New Roman" w:hAnsi="Times New Roman"/>
          <w:noProof/>
          <w:sz w:val="24"/>
          <w:szCs w:val="24"/>
        </w:rPr>
        <w:t xml:space="preserve">Las cuentas por pagar son clasificadas al costo, corresponden a las obligaciones con plazos de pago inferiores o iguales a noventa (90) días.  </w:t>
      </w:r>
    </w:p>
    <w:p w14:paraId="10EDEF4E" w14:textId="0D1E5B7F" w:rsidR="00364C5D" w:rsidRDefault="00364C5D" w:rsidP="00DE4E74">
      <w:pPr>
        <w:pStyle w:val="Prrafodelista"/>
        <w:spacing w:after="0" w:line="240" w:lineRule="auto"/>
        <w:ind w:left="0"/>
        <w:rPr>
          <w:rFonts w:ascii="Times New Roman" w:hAnsi="Times New Roman"/>
          <w:noProof/>
          <w:sz w:val="24"/>
          <w:szCs w:val="24"/>
        </w:rPr>
      </w:pPr>
    </w:p>
    <w:p w14:paraId="66A314EF" w14:textId="2398F483" w:rsidR="00DE4E74" w:rsidRPr="00DE4E74" w:rsidRDefault="00DE4E74" w:rsidP="00DE4E74">
      <w:pPr>
        <w:pStyle w:val="Prrafodelista"/>
        <w:spacing w:after="0" w:line="240" w:lineRule="auto"/>
        <w:ind w:left="0"/>
        <w:rPr>
          <w:rFonts w:ascii="Times New Roman" w:hAnsi="Times New Roman"/>
          <w:noProof/>
          <w:sz w:val="24"/>
          <w:szCs w:val="24"/>
        </w:rPr>
      </w:pPr>
      <w:r w:rsidRPr="00DE4E74">
        <w:rPr>
          <w:rFonts w:ascii="Times New Roman" w:hAnsi="Times New Roman"/>
          <w:noProof/>
          <w:sz w:val="24"/>
          <w:szCs w:val="24"/>
        </w:rPr>
        <w:t xml:space="preserve">Por política general de la entidad, el plazo para pago a los proveedores de bienes y servicios no puede exceder los 60 días. </w:t>
      </w:r>
    </w:p>
    <w:p w14:paraId="19670AB0" w14:textId="5CECD15C" w:rsidR="00DE4E74" w:rsidRPr="00DE4E74" w:rsidRDefault="00DE4E74" w:rsidP="00DE4E74">
      <w:pPr>
        <w:pStyle w:val="Prrafodelista"/>
        <w:spacing w:after="0" w:line="240" w:lineRule="auto"/>
        <w:rPr>
          <w:rFonts w:ascii="Times New Roman" w:hAnsi="Times New Roman"/>
          <w:noProof/>
          <w:sz w:val="24"/>
          <w:szCs w:val="24"/>
        </w:rPr>
      </w:pPr>
    </w:p>
    <w:p w14:paraId="50AE760C" w14:textId="6392D30C" w:rsidR="00485311" w:rsidRDefault="00DE4E74" w:rsidP="00DE4E74">
      <w:pPr>
        <w:pStyle w:val="Prrafodelista"/>
        <w:spacing w:after="0" w:line="240" w:lineRule="auto"/>
        <w:ind w:left="0"/>
        <w:rPr>
          <w:rFonts w:ascii="Times New Roman" w:hAnsi="Times New Roman"/>
          <w:noProof/>
          <w:sz w:val="24"/>
          <w:szCs w:val="24"/>
        </w:rPr>
      </w:pPr>
      <w:r w:rsidRPr="00DE4E74">
        <w:rPr>
          <w:rFonts w:ascii="Times New Roman" w:hAnsi="Times New Roman"/>
          <w:noProof/>
          <w:sz w:val="24"/>
          <w:szCs w:val="24"/>
        </w:rPr>
        <w:t>La entidad tiene una situación financiera sólida la cual le permite cumplir sin inconvenientes con el pago de todas sus cuentas por pagar.</w:t>
      </w:r>
    </w:p>
    <w:p w14:paraId="0A43988C" w14:textId="2B08BD2E" w:rsidR="000E5DA9" w:rsidRDefault="000E5DA9" w:rsidP="00DE4E74">
      <w:pPr>
        <w:pStyle w:val="Prrafodelista"/>
        <w:spacing w:after="0" w:line="240" w:lineRule="auto"/>
        <w:ind w:left="0"/>
        <w:rPr>
          <w:rFonts w:ascii="Times New Roman" w:hAnsi="Times New Roman"/>
          <w:noProof/>
          <w:sz w:val="24"/>
          <w:szCs w:val="24"/>
        </w:rPr>
      </w:pPr>
    </w:p>
    <w:p w14:paraId="3273E837" w14:textId="4C4C29E3" w:rsidR="00B61CE4" w:rsidRPr="00A608DF" w:rsidRDefault="00B61CE4" w:rsidP="00425DA9">
      <w:pPr>
        <w:pStyle w:val="Ttulo2"/>
        <w:numPr>
          <w:ilvl w:val="1"/>
          <w:numId w:val="2"/>
        </w:numPr>
        <w:ind w:left="567" w:hanging="567"/>
        <w:rPr>
          <w:szCs w:val="22"/>
        </w:rPr>
      </w:pPr>
      <w:bookmarkStart w:id="63" w:name="_Toc99455337"/>
      <w:r w:rsidRPr="00A608DF">
        <w:rPr>
          <w:szCs w:val="22"/>
        </w:rPr>
        <w:t>Revelaciones generales</w:t>
      </w:r>
      <w:bookmarkEnd w:id="63"/>
    </w:p>
    <w:p w14:paraId="4B1BA70D" w14:textId="6EF187AA" w:rsidR="00E9608A" w:rsidRPr="00E2373F" w:rsidRDefault="00E9608A" w:rsidP="00667BC9">
      <w:pPr>
        <w:pStyle w:val="Prrafodelista"/>
        <w:spacing w:after="0" w:line="240" w:lineRule="auto"/>
        <w:ind w:left="709"/>
        <w:jc w:val="both"/>
        <w:rPr>
          <w:rFonts w:ascii="Times New Roman" w:hAnsi="Times New Roman"/>
          <w:sz w:val="24"/>
          <w:szCs w:val="24"/>
        </w:rPr>
      </w:pPr>
    </w:p>
    <w:p w14:paraId="2D57D21B" w14:textId="713FE885" w:rsidR="00E9608A" w:rsidRPr="003C0B1A" w:rsidRDefault="00E9608A" w:rsidP="00425DA9">
      <w:pPr>
        <w:pStyle w:val="Ttulo3"/>
        <w:numPr>
          <w:ilvl w:val="2"/>
          <w:numId w:val="2"/>
        </w:numPr>
        <w:ind w:left="709" w:hanging="709"/>
      </w:pPr>
      <w:bookmarkStart w:id="64" w:name="_Toc99455338"/>
      <w:r w:rsidRPr="003C0B1A">
        <w:t>Adquisición de bienes y servicios nacionales</w:t>
      </w:r>
      <w:bookmarkEnd w:id="64"/>
    </w:p>
    <w:p w14:paraId="6B4C738F" w14:textId="2C125A48" w:rsidR="00E9608A" w:rsidRDefault="00B566FE" w:rsidP="00667BC9">
      <w:pPr>
        <w:spacing w:after="0" w:line="240" w:lineRule="auto"/>
        <w:ind w:left="720"/>
        <w:jc w:val="both"/>
        <w:rPr>
          <w:rFonts w:ascii="Times New Roman" w:hAnsi="Times New Roman"/>
          <w:sz w:val="24"/>
          <w:szCs w:val="24"/>
        </w:rPr>
      </w:pPr>
      <w:r w:rsidRPr="00B566FE">
        <w:rPr>
          <w:noProof/>
        </w:rPr>
        <w:drawing>
          <wp:anchor distT="0" distB="0" distL="114300" distR="114300" simplePos="0" relativeHeight="252730368" behindDoc="1" locked="0" layoutInCell="1" allowOverlap="1" wp14:anchorId="3C7E2DE5" wp14:editId="3AF5FBA3">
            <wp:simplePos x="0" y="0"/>
            <wp:positionH relativeFrom="column">
              <wp:posOffset>0</wp:posOffset>
            </wp:positionH>
            <wp:positionV relativeFrom="paragraph">
              <wp:posOffset>41275</wp:posOffset>
            </wp:positionV>
            <wp:extent cx="5881370" cy="1568450"/>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81370" cy="1568450"/>
                    </a:xfrm>
                    <a:prstGeom prst="rect">
                      <a:avLst/>
                    </a:prstGeom>
                    <a:noFill/>
                    <a:ln>
                      <a:noFill/>
                    </a:ln>
                  </pic:spPr>
                </pic:pic>
              </a:graphicData>
            </a:graphic>
            <wp14:sizeRelV relativeFrom="margin">
              <wp14:pctHeight>0</wp14:pctHeight>
            </wp14:sizeRelV>
          </wp:anchor>
        </w:drawing>
      </w:r>
    </w:p>
    <w:p w14:paraId="3CBF0B04" w14:textId="1848351F" w:rsidR="00235E8C" w:rsidRDefault="00235E8C" w:rsidP="00667BC9">
      <w:pPr>
        <w:spacing w:after="0" w:line="240" w:lineRule="auto"/>
        <w:ind w:left="720"/>
        <w:jc w:val="both"/>
        <w:rPr>
          <w:rFonts w:ascii="Times New Roman" w:hAnsi="Times New Roman"/>
          <w:sz w:val="24"/>
          <w:szCs w:val="24"/>
        </w:rPr>
      </w:pPr>
    </w:p>
    <w:p w14:paraId="52E2B85F" w14:textId="7F07DFD8" w:rsidR="00235E8C" w:rsidRDefault="00235E8C" w:rsidP="00667BC9">
      <w:pPr>
        <w:spacing w:after="0" w:line="240" w:lineRule="auto"/>
        <w:ind w:left="720"/>
        <w:jc w:val="both"/>
        <w:rPr>
          <w:rFonts w:ascii="Times New Roman" w:hAnsi="Times New Roman"/>
          <w:sz w:val="24"/>
          <w:szCs w:val="24"/>
        </w:rPr>
      </w:pPr>
    </w:p>
    <w:p w14:paraId="3ADE3887" w14:textId="6853C1CA" w:rsidR="00235E8C" w:rsidRDefault="00235E8C" w:rsidP="00667BC9">
      <w:pPr>
        <w:spacing w:after="0" w:line="240" w:lineRule="auto"/>
        <w:ind w:left="720"/>
        <w:jc w:val="both"/>
        <w:rPr>
          <w:rFonts w:ascii="Times New Roman" w:hAnsi="Times New Roman"/>
          <w:sz w:val="24"/>
          <w:szCs w:val="24"/>
        </w:rPr>
      </w:pPr>
    </w:p>
    <w:p w14:paraId="6C876818" w14:textId="7AE63CA3" w:rsidR="00235E8C" w:rsidRDefault="00235E8C" w:rsidP="00667BC9">
      <w:pPr>
        <w:spacing w:after="0" w:line="240" w:lineRule="auto"/>
        <w:ind w:left="720"/>
        <w:jc w:val="both"/>
        <w:rPr>
          <w:rFonts w:ascii="Times New Roman" w:hAnsi="Times New Roman"/>
          <w:sz w:val="24"/>
          <w:szCs w:val="24"/>
        </w:rPr>
      </w:pPr>
    </w:p>
    <w:p w14:paraId="417C2EB5" w14:textId="6ABCFBFA" w:rsidR="008D3668" w:rsidRDefault="008D3668" w:rsidP="008D3668">
      <w:pPr>
        <w:pStyle w:val="Ttulo3"/>
        <w:ind w:left="709"/>
      </w:pPr>
      <w:bookmarkStart w:id="65" w:name="_Toc99455339"/>
    </w:p>
    <w:p w14:paraId="51D8CE9B" w14:textId="4FE10EAC" w:rsidR="008D3668" w:rsidRPr="008D3668" w:rsidRDefault="008D3668" w:rsidP="008D3668">
      <w:pPr>
        <w:spacing w:after="0" w:line="240" w:lineRule="auto"/>
      </w:pPr>
    </w:p>
    <w:p w14:paraId="0056D558" w14:textId="6815FA57" w:rsidR="008D3668" w:rsidRDefault="008D3668" w:rsidP="008D3668">
      <w:pPr>
        <w:pStyle w:val="Ttulo3"/>
        <w:ind w:left="709"/>
      </w:pPr>
    </w:p>
    <w:p w14:paraId="2CC04284" w14:textId="41596F94" w:rsidR="008D3668" w:rsidRPr="008D3668" w:rsidRDefault="008D3668" w:rsidP="008D3668"/>
    <w:p w14:paraId="1016C70D" w14:textId="14FFD48A" w:rsidR="00E9608A" w:rsidRDefault="00230ACC" w:rsidP="00425DA9">
      <w:pPr>
        <w:pStyle w:val="Ttulo3"/>
        <w:numPr>
          <w:ilvl w:val="2"/>
          <w:numId w:val="2"/>
        </w:numPr>
        <w:ind w:left="709" w:hanging="709"/>
      </w:pPr>
      <w:r>
        <w:t>Recursos a favor de terceros</w:t>
      </w:r>
      <w:bookmarkEnd w:id="65"/>
    </w:p>
    <w:p w14:paraId="05048CA0" w14:textId="094E4E01" w:rsidR="009D4E3E" w:rsidRDefault="00B566FE" w:rsidP="009D4E3E">
      <w:pPr>
        <w:rPr>
          <w:noProof/>
        </w:rPr>
      </w:pPr>
      <w:r w:rsidRPr="00B566FE">
        <w:rPr>
          <w:noProof/>
        </w:rPr>
        <w:drawing>
          <wp:anchor distT="0" distB="0" distL="114300" distR="114300" simplePos="0" relativeHeight="252731392" behindDoc="1" locked="0" layoutInCell="1" allowOverlap="1" wp14:anchorId="06A3396E" wp14:editId="255C82D4">
            <wp:simplePos x="0" y="0"/>
            <wp:positionH relativeFrom="column">
              <wp:posOffset>31750</wp:posOffset>
            </wp:positionH>
            <wp:positionV relativeFrom="paragraph">
              <wp:posOffset>59055</wp:posOffset>
            </wp:positionV>
            <wp:extent cx="5881370" cy="1701800"/>
            <wp:effectExtent l="0" t="0" r="508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81370" cy="1701800"/>
                    </a:xfrm>
                    <a:prstGeom prst="rect">
                      <a:avLst/>
                    </a:prstGeom>
                    <a:noFill/>
                    <a:ln>
                      <a:noFill/>
                    </a:ln>
                  </pic:spPr>
                </pic:pic>
              </a:graphicData>
            </a:graphic>
            <wp14:sizeRelV relativeFrom="margin">
              <wp14:pctHeight>0</wp14:pctHeight>
            </wp14:sizeRelV>
          </wp:anchor>
        </w:drawing>
      </w:r>
    </w:p>
    <w:p w14:paraId="19DDE941" w14:textId="501010F6" w:rsidR="009D4E3E" w:rsidRPr="009D4E3E" w:rsidRDefault="009D4E3E" w:rsidP="009D4E3E"/>
    <w:p w14:paraId="219E81AA" w14:textId="7555D14E" w:rsidR="00230ACC" w:rsidRDefault="00720F5F" w:rsidP="00720F5F">
      <w:pPr>
        <w:pStyle w:val="Ttulo3"/>
        <w:tabs>
          <w:tab w:val="left" w:pos="5385"/>
        </w:tabs>
      </w:pPr>
      <w:r>
        <w:tab/>
      </w:r>
    </w:p>
    <w:p w14:paraId="23240610" w14:textId="6D6AAB7F" w:rsidR="004E0C9A" w:rsidRPr="004E0C9A" w:rsidRDefault="004E0C9A" w:rsidP="004E0C9A"/>
    <w:p w14:paraId="3B64B0BF" w14:textId="23A95325" w:rsidR="006E2BAF" w:rsidRDefault="006E2BAF" w:rsidP="006E2BAF"/>
    <w:p w14:paraId="6AC6F478" w14:textId="494CF40F" w:rsidR="006E2BAF" w:rsidRDefault="006E2BAF" w:rsidP="006E2BAF"/>
    <w:p w14:paraId="0684A7AA" w14:textId="222074AC" w:rsidR="00E317B4" w:rsidRDefault="00E317B4" w:rsidP="00EA48AE">
      <w:pPr>
        <w:pStyle w:val="Ttulo3"/>
        <w:rPr>
          <w:b w:val="0"/>
          <w:bCs/>
        </w:rPr>
      </w:pPr>
      <w:bookmarkStart w:id="66" w:name="_Toc64973313"/>
      <w:bookmarkStart w:id="67" w:name="_Toc68891903"/>
      <w:bookmarkStart w:id="68" w:name="_Toc98497790"/>
      <w:bookmarkStart w:id="69" w:name="_Toc99455340"/>
      <w:r w:rsidRPr="00E317B4">
        <w:lastRenderedPageBreak/>
        <w:t>Otros recursos a favor de terceros</w:t>
      </w:r>
      <w:bookmarkEnd w:id="66"/>
      <w:bookmarkEnd w:id="67"/>
      <w:bookmarkEnd w:id="68"/>
      <w:bookmarkEnd w:id="69"/>
      <w:r>
        <w:rPr>
          <w:b w:val="0"/>
          <w:bCs/>
        </w:rPr>
        <w:t xml:space="preserve"> </w:t>
      </w:r>
    </w:p>
    <w:p w14:paraId="3BC77740" w14:textId="486FFE6C" w:rsidR="002722C6" w:rsidRDefault="00954FBE" w:rsidP="00EA48AE">
      <w:pPr>
        <w:pStyle w:val="Ttulo3"/>
        <w:rPr>
          <w:b w:val="0"/>
          <w:bCs/>
        </w:rPr>
      </w:pPr>
      <w:bookmarkStart w:id="70" w:name="_Toc64739308"/>
      <w:bookmarkStart w:id="71" w:name="_Toc64973314"/>
      <w:bookmarkStart w:id="72" w:name="_Toc66804800"/>
      <w:bookmarkStart w:id="73" w:name="_Toc68891904"/>
      <w:bookmarkStart w:id="74" w:name="_Toc73043621"/>
      <w:bookmarkStart w:id="75" w:name="_Toc98497791"/>
      <w:bookmarkStart w:id="76" w:name="_Toc99455341"/>
      <w:r>
        <w:rPr>
          <w:b w:val="0"/>
          <w:bCs/>
        </w:rPr>
        <w:t>C</w:t>
      </w:r>
      <w:r w:rsidR="00B566FE">
        <w:rPr>
          <w:b w:val="0"/>
          <w:bCs/>
        </w:rPr>
        <w:t>onformado</w:t>
      </w:r>
      <w:r>
        <w:rPr>
          <w:b w:val="0"/>
          <w:bCs/>
        </w:rPr>
        <w:t xml:space="preserve"> </w:t>
      </w:r>
      <w:r w:rsidR="004858B2">
        <w:rPr>
          <w:b w:val="0"/>
          <w:bCs/>
        </w:rPr>
        <w:t>principalmente</w:t>
      </w:r>
      <w:r w:rsidR="00E317B4" w:rsidRPr="00E317B4">
        <w:rPr>
          <w:b w:val="0"/>
          <w:bCs/>
        </w:rPr>
        <w:t xml:space="preserve"> </w:t>
      </w:r>
      <w:r w:rsidR="004858B2">
        <w:rPr>
          <w:b w:val="0"/>
          <w:bCs/>
        </w:rPr>
        <w:t>por</w:t>
      </w:r>
      <w:r>
        <w:rPr>
          <w:b w:val="0"/>
          <w:bCs/>
        </w:rPr>
        <w:t xml:space="preserve"> </w:t>
      </w:r>
      <w:r w:rsidR="00E317B4">
        <w:rPr>
          <w:b w:val="0"/>
          <w:bCs/>
        </w:rPr>
        <w:t>$</w:t>
      </w:r>
      <w:r w:rsidR="00BA7904">
        <w:rPr>
          <w:b w:val="0"/>
          <w:bCs/>
        </w:rPr>
        <w:t>8</w:t>
      </w:r>
      <w:r w:rsidR="00422444">
        <w:rPr>
          <w:b w:val="0"/>
          <w:bCs/>
        </w:rPr>
        <w:t>1</w:t>
      </w:r>
      <w:r w:rsidR="004858B2">
        <w:rPr>
          <w:b w:val="0"/>
          <w:bCs/>
        </w:rPr>
        <w:t>3</w:t>
      </w:r>
      <w:r w:rsidR="00E317B4">
        <w:rPr>
          <w:b w:val="0"/>
          <w:bCs/>
        </w:rPr>
        <w:t>.</w:t>
      </w:r>
      <w:r w:rsidR="004858B2">
        <w:rPr>
          <w:b w:val="0"/>
          <w:bCs/>
        </w:rPr>
        <w:t>111</w:t>
      </w:r>
      <w:r w:rsidR="0018610E">
        <w:rPr>
          <w:b w:val="0"/>
          <w:bCs/>
        </w:rPr>
        <w:t>.</w:t>
      </w:r>
      <w:r w:rsidR="004858B2">
        <w:rPr>
          <w:b w:val="0"/>
          <w:bCs/>
        </w:rPr>
        <w:t>489</w:t>
      </w:r>
      <w:r w:rsidR="0073152E">
        <w:rPr>
          <w:b w:val="0"/>
          <w:bCs/>
        </w:rPr>
        <w:t>,</w:t>
      </w:r>
      <w:r>
        <w:rPr>
          <w:b w:val="0"/>
          <w:bCs/>
        </w:rPr>
        <w:t xml:space="preserve"> </w:t>
      </w:r>
      <w:r w:rsidR="0073152E">
        <w:rPr>
          <w:b w:val="0"/>
          <w:bCs/>
        </w:rPr>
        <w:t xml:space="preserve">saldos </w:t>
      </w:r>
      <w:r w:rsidR="00E317B4" w:rsidRPr="00E317B4">
        <w:rPr>
          <w:b w:val="0"/>
          <w:bCs/>
        </w:rPr>
        <w:t xml:space="preserve">pendientes de devolución </w:t>
      </w:r>
      <w:r w:rsidR="00553163">
        <w:rPr>
          <w:b w:val="0"/>
          <w:bCs/>
        </w:rPr>
        <w:t>y</w:t>
      </w:r>
      <w:r w:rsidR="00AC4BF0">
        <w:rPr>
          <w:b w:val="0"/>
          <w:bCs/>
        </w:rPr>
        <w:t>/o</w:t>
      </w:r>
      <w:r w:rsidR="00553163">
        <w:rPr>
          <w:b w:val="0"/>
          <w:bCs/>
        </w:rPr>
        <w:t xml:space="preserve"> de cruce </w:t>
      </w:r>
      <w:r w:rsidR="00E317B4" w:rsidRPr="00E317B4">
        <w:rPr>
          <w:b w:val="0"/>
          <w:bCs/>
        </w:rPr>
        <w:t xml:space="preserve">de los colegios beneficiados por financiación </w:t>
      </w:r>
      <w:r w:rsidR="00111874">
        <w:rPr>
          <w:b w:val="0"/>
          <w:bCs/>
        </w:rPr>
        <w:t xml:space="preserve">del </w:t>
      </w:r>
      <w:r w:rsidR="00E317B4" w:rsidRPr="00E317B4">
        <w:rPr>
          <w:b w:val="0"/>
          <w:bCs/>
        </w:rPr>
        <w:t>M</w:t>
      </w:r>
      <w:r w:rsidR="00111874">
        <w:rPr>
          <w:b w:val="0"/>
          <w:bCs/>
        </w:rPr>
        <w:t xml:space="preserve">inisterio de </w:t>
      </w:r>
      <w:r w:rsidR="00E317B4" w:rsidRPr="00E317B4">
        <w:rPr>
          <w:b w:val="0"/>
          <w:bCs/>
        </w:rPr>
        <w:t>E</w:t>
      </w:r>
      <w:r w:rsidR="00111874">
        <w:rPr>
          <w:b w:val="0"/>
          <w:bCs/>
        </w:rPr>
        <w:t xml:space="preserve">ducación </w:t>
      </w:r>
      <w:r w:rsidR="00E317B4" w:rsidRPr="00E317B4">
        <w:rPr>
          <w:b w:val="0"/>
          <w:bCs/>
        </w:rPr>
        <w:t>N</w:t>
      </w:r>
      <w:r w:rsidR="00111874">
        <w:rPr>
          <w:b w:val="0"/>
          <w:bCs/>
        </w:rPr>
        <w:t>acional</w:t>
      </w:r>
      <w:r w:rsidR="00E317B4" w:rsidRPr="00E317B4">
        <w:rPr>
          <w:b w:val="0"/>
          <w:bCs/>
        </w:rPr>
        <w:t xml:space="preserve"> </w:t>
      </w:r>
      <w:r w:rsidR="00111874">
        <w:rPr>
          <w:b w:val="0"/>
          <w:bCs/>
        </w:rPr>
        <w:t xml:space="preserve">– MEN </w:t>
      </w:r>
      <w:r w:rsidR="00E317B4" w:rsidRPr="00E317B4">
        <w:rPr>
          <w:b w:val="0"/>
          <w:bCs/>
        </w:rPr>
        <w:t xml:space="preserve">y </w:t>
      </w:r>
      <w:r w:rsidR="009D4E3E">
        <w:rPr>
          <w:b w:val="0"/>
          <w:bCs/>
        </w:rPr>
        <w:t>S</w:t>
      </w:r>
      <w:r w:rsidR="009D4E3E" w:rsidRPr="00E317B4">
        <w:rPr>
          <w:b w:val="0"/>
          <w:bCs/>
        </w:rPr>
        <w:t>ecretarias</w:t>
      </w:r>
      <w:r w:rsidR="00111874">
        <w:rPr>
          <w:b w:val="0"/>
          <w:bCs/>
        </w:rPr>
        <w:t xml:space="preserve"> de </w:t>
      </w:r>
      <w:r w:rsidR="00E317B4" w:rsidRPr="00E317B4">
        <w:rPr>
          <w:b w:val="0"/>
          <w:bCs/>
        </w:rPr>
        <w:t>E</w:t>
      </w:r>
      <w:r w:rsidR="00111874">
        <w:rPr>
          <w:b w:val="0"/>
          <w:bCs/>
        </w:rPr>
        <w:t>ducación</w:t>
      </w:r>
      <w:r w:rsidR="00E317B4" w:rsidRPr="00E317B4">
        <w:rPr>
          <w:b w:val="0"/>
          <w:bCs/>
        </w:rPr>
        <w:t xml:space="preserve"> </w:t>
      </w:r>
      <w:r w:rsidR="00111874">
        <w:rPr>
          <w:b w:val="0"/>
          <w:bCs/>
        </w:rPr>
        <w:t xml:space="preserve">SE </w:t>
      </w:r>
      <w:r w:rsidR="00E317B4" w:rsidRPr="00E317B4">
        <w:rPr>
          <w:b w:val="0"/>
          <w:bCs/>
        </w:rPr>
        <w:t>para las Pruebas Saber 11 A</w:t>
      </w:r>
      <w:bookmarkEnd w:id="70"/>
      <w:bookmarkEnd w:id="71"/>
      <w:bookmarkEnd w:id="72"/>
      <w:bookmarkEnd w:id="73"/>
      <w:bookmarkEnd w:id="74"/>
      <w:r w:rsidR="004C7B3D">
        <w:rPr>
          <w:b w:val="0"/>
          <w:bCs/>
        </w:rPr>
        <w:t>.</w:t>
      </w:r>
      <w:bookmarkEnd w:id="75"/>
      <w:bookmarkEnd w:id="76"/>
    </w:p>
    <w:p w14:paraId="099A6F15" w14:textId="03729FEF" w:rsidR="00F57FD9" w:rsidRDefault="00F57FD9" w:rsidP="00073315">
      <w:pPr>
        <w:pStyle w:val="Ttulo1"/>
      </w:pPr>
    </w:p>
    <w:p w14:paraId="43A0A534" w14:textId="2924B4F5" w:rsidR="00650109" w:rsidRDefault="00650109" w:rsidP="00425DA9">
      <w:pPr>
        <w:pStyle w:val="Ttulo3"/>
        <w:numPr>
          <w:ilvl w:val="2"/>
          <w:numId w:val="2"/>
        </w:numPr>
        <w:ind w:left="709" w:hanging="709"/>
      </w:pPr>
      <w:bookmarkStart w:id="77" w:name="_Toc99455342"/>
      <w:r>
        <w:t>Descuentos de nómina</w:t>
      </w:r>
      <w:bookmarkEnd w:id="77"/>
    </w:p>
    <w:p w14:paraId="6161A4BE" w14:textId="4F4BC72C" w:rsidR="00EB1413" w:rsidRPr="0006580C" w:rsidRDefault="0006580C" w:rsidP="0006580C">
      <w:pPr>
        <w:pStyle w:val="Ttulo1"/>
      </w:pPr>
      <w:r w:rsidRPr="0006580C">
        <w:drawing>
          <wp:inline distT="0" distB="0" distL="0" distR="0" wp14:anchorId="4A94CC9C" wp14:editId="06784716">
            <wp:extent cx="5881370" cy="194437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81370" cy="1944370"/>
                    </a:xfrm>
                    <a:prstGeom prst="rect">
                      <a:avLst/>
                    </a:prstGeom>
                    <a:noFill/>
                    <a:ln>
                      <a:noFill/>
                    </a:ln>
                  </pic:spPr>
                </pic:pic>
              </a:graphicData>
            </a:graphic>
          </wp:inline>
        </w:drawing>
      </w:r>
    </w:p>
    <w:p w14:paraId="068CF642" w14:textId="67719A12" w:rsidR="00EB1413" w:rsidRDefault="00EB1413" w:rsidP="00A515DA">
      <w:pPr>
        <w:spacing w:after="0" w:line="240" w:lineRule="auto"/>
        <w:rPr>
          <w:rFonts w:ascii="Times New Roman" w:eastAsiaTheme="majorEastAsia" w:hAnsi="Times New Roman" w:cstheme="majorBidi"/>
          <w:b/>
          <w:bCs/>
          <w:sz w:val="24"/>
          <w:szCs w:val="24"/>
        </w:rPr>
      </w:pPr>
    </w:p>
    <w:p w14:paraId="2249F2EC" w14:textId="385411FD" w:rsidR="00A515DA" w:rsidRPr="00A75FB8" w:rsidRDefault="00A515DA" w:rsidP="00A515DA">
      <w:pPr>
        <w:spacing w:after="0" w:line="240" w:lineRule="auto"/>
        <w:rPr>
          <w:rFonts w:ascii="Times New Roman" w:eastAsiaTheme="majorEastAsia" w:hAnsi="Times New Roman" w:cstheme="majorBidi"/>
          <w:b/>
          <w:bCs/>
          <w:sz w:val="24"/>
          <w:szCs w:val="24"/>
        </w:rPr>
      </w:pPr>
      <w:r w:rsidRPr="00A75FB8">
        <w:rPr>
          <w:rFonts w:ascii="Times New Roman" w:eastAsiaTheme="majorEastAsia" w:hAnsi="Times New Roman" w:cstheme="majorBidi"/>
          <w:b/>
          <w:bCs/>
          <w:sz w:val="24"/>
          <w:szCs w:val="24"/>
        </w:rPr>
        <w:t xml:space="preserve">Descuentos de nómina </w:t>
      </w:r>
    </w:p>
    <w:p w14:paraId="6D1AE89F" w14:textId="6A0C0263" w:rsidR="00A515DA" w:rsidRDefault="00A75FB8" w:rsidP="00A75FB8">
      <w:pPr>
        <w:spacing w:after="0" w:line="240" w:lineRule="auto"/>
        <w:jc w:val="both"/>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 xml:space="preserve">Corresponden al rubro por $ </w:t>
      </w:r>
      <w:r w:rsidR="007A5236">
        <w:rPr>
          <w:rFonts w:ascii="Times New Roman" w:eastAsiaTheme="majorEastAsia" w:hAnsi="Times New Roman" w:cstheme="majorBidi"/>
          <w:bCs/>
          <w:sz w:val="24"/>
          <w:szCs w:val="24"/>
        </w:rPr>
        <w:t>23</w:t>
      </w:r>
      <w:r w:rsidR="00E8254F">
        <w:rPr>
          <w:rFonts w:ascii="Times New Roman" w:eastAsiaTheme="majorEastAsia" w:hAnsi="Times New Roman" w:cstheme="majorBidi"/>
          <w:bCs/>
          <w:sz w:val="24"/>
          <w:szCs w:val="24"/>
        </w:rPr>
        <w:t>6</w:t>
      </w:r>
      <w:r>
        <w:rPr>
          <w:rFonts w:ascii="Times New Roman" w:eastAsiaTheme="majorEastAsia" w:hAnsi="Times New Roman" w:cstheme="majorBidi"/>
          <w:bCs/>
          <w:sz w:val="24"/>
          <w:szCs w:val="24"/>
        </w:rPr>
        <w:t>.</w:t>
      </w:r>
      <w:r w:rsidR="0006580C">
        <w:rPr>
          <w:rFonts w:ascii="Times New Roman" w:eastAsiaTheme="majorEastAsia" w:hAnsi="Times New Roman" w:cstheme="majorBidi"/>
          <w:bCs/>
          <w:sz w:val="24"/>
          <w:szCs w:val="24"/>
        </w:rPr>
        <w:t>14</w:t>
      </w:r>
      <w:r w:rsidR="00A80D32">
        <w:rPr>
          <w:rFonts w:ascii="Times New Roman" w:eastAsiaTheme="majorEastAsia" w:hAnsi="Times New Roman" w:cstheme="majorBidi"/>
          <w:bCs/>
          <w:sz w:val="24"/>
          <w:szCs w:val="24"/>
        </w:rPr>
        <w:t>3</w:t>
      </w:r>
      <w:r>
        <w:rPr>
          <w:rFonts w:ascii="Times New Roman" w:eastAsiaTheme="majorEastAsia" w:hAnsi="Times New Roman" w:cstheme="majorBidi"/>
          <w:bCs/>
          <w:sz w:val="24"/>
          <w:szCs w:val="24"/>
        </w:rPr>
        <w:t>.</w:t>
      </w:r>
      <w:r w:rsidR="0006580C">
        <w:rPr>
          <w:rFonts w:ascii="Times New Roman" w:eastAsiaTheme="majorEastAsia" w:hAnsi="Times New Roman" w:cstheme="majorBidi"/>
          <w:bCs/>
          <w:sz w:val="24"/>
          <w:szCs w:val="24"/>
        </w:rPr>
        <w:t>169</w:t>
      </w:r>
      <w:r>
        <w:rPr>
          <w:rFonts w:ascii="Times New Roman" w:eastAsiaTheme="majorEastAsia" w:hAnsi="Times New Roman" w:cstheme="majorBidi"/>
          <w:bCs/>
          <w:sz w:val="24"/>
          <w:szCs w:val="24"/>
        </w:rPr>
        <w:t xml:space="preserve">, </w:t>
      </w:r>
      <w:r w:rsidRPr="00A75FB8">
        <w:rPr>
          <w:rFonts w:ascii="Times New Roman" w:eastAsiaTheme="majorEastAsia" w:hAnsi="Times New Roman" w:cstheme="majorBidi"/>
          <w:bCs/>
          <w:sz w:val="24"/>
          <w:szCs w:val="24"/>
        </w:rPr>
        <w:t xml:space="preserve">son los descuentos </w:t>
      </w:r>
      <w:r w:rsidR="000B5615">
        <w:rPr>
          <w:rFonts w:ascii="Times New Roman" w:eastAsiaTheme="majorEastAsia" w:hAnsi="Times New Roman" w:cstheme="majorBidi"/>
          <w:bCs/>
          <w:sz w:val="24"/>
          <w:szCs w:val="24"/>
        </w:rPr>
        <w:t xml:space="preserve">que se originan de la nómina </w:t>
      </w:r>
      <w:r w:rsidR="00E20945">
        <w:rPr>
          <w:rFonts w:ascii="Times New Roman" w:eastAsiaTheme="majorEastAsia" w:hAnsi="Times New Roman" w:cstheme="majorBidi"/>
          <w:bCs/>
          <w:sz w:val="24"/>
          <w:szCs w:val="24"/>
        </w:rPr>
        <w:t xml:space="preserve">retenidos y cancelados </w:t>
      </w:r>
      <w:r w:rsidR="00611305">
        <w:rPr>
          <w:rFonts w:ascii="Times New Roman" w:eastAsiaTheme="majorEastAsia" w:hAnsi="Times New Roman" w:cstheme="majorBidi"/>
          <w:bCs/>
          <w:sz w:val="24"/>
          <w:szCs w:val="24"/>
        </w:rPr>
        <w:t>en el periodo</w:t>
      </w:r>
      <w:r w:rsidRPr="00A75FB8">
        <w:rPr>
          <w:rFonts w:ascii="Times New Roman" w:eastAsiaTheme="majorEastAsia" w:hAnsi="Times New Roman" w:cstheme="majorBidi"/>
          <w:bCs/>
          <w:sz w:val="24"/>
          <w:szCs w:val="24"/>
        </w:rPr>
        <w:t>.</w:t>
      </w:r>
    </w:p>
    <w:p w14:paraId="25FDE201" w14:textId="3A9D573C" w:rsidR="00611305" w:rsidRDefault="00611305" w:rsidP="00A75FB8">
      <w:pPr>
        <w:spacing w:after="0" w:line="240" w:lineRule="auto"/>
        <w:jc w:val="both"/>
        <w:rPr>
          <w:rFonts w:ascii="Times New Roman" w:eastAsiaTheme="majorEastAsia" w:hAnsi="Times New Roman" w:cstheme="majorBidi"/>
          <w:bCs/>
          <w:sz w:val="24"/>
          <w:szCs w:val="24"/>
        </w:rPr>
      </w:pPr>
    </w:p>
    <w:p w14:paraId="4A1FDE6B" w14:textId="2600FD12" w:rsidR="001E7BE0" w:rsidRDefault="001E7BE0" w:rsidP="00425DA9">
      <w:pPr>
        <w:pStyle w:val="Ttulo3"/>
        <w:numPr>
          <w:ilvl w:val="2"/>
          <w:numId w:val="2"/>
        </w:numPr>
        <w:ind w:left="709" w:hanging="709"/>
      </w:pPr>
      <w:bookmarkStart w:id="78" w:name="_Toc99455344"/>
      <w:r>
        <w:t>Impuestos contribuciones y tasas</w:t>
      </w:r>
      <w:bookmarkEnd w:id="78"/>
    </w:p>
    <w:p w14:paraId="1F1F0A8B" w14:textId="3F9A8847" w:rsidR="002610E0" w:rsidRPr="002610E0" w:rsidRDefault="00B566FE" w:rsidP="002610E0">
      <w:r w:rsidRPr="00B566FE">
        <w:rPr>
          <w:noProof/>
        </w:rPr>
        <w:drawing>
          <wp:anchor distT="0" distB="0" distL="114300" distR="114300" simplePos="0" relativeHeight="252732416" behindDoc="1" locked="0" layoutInCell="1" allowOverlap="1" wp14:anchorId="1BBDE4C7" wp14:editId="6CD5F695">
            <wp:simplePos x="0" y="0"/>
            <wp:positionH relativeFrom="column">
              <wp:posOffset>0</wp:posOffset>
            </wp:positionH>
            <wp:positionV relativeFrom="paragraph">
              <wp:posOffset>95250</wp:posOffset>
            </wp:positionV>
            <wp:extent cx="5881370" cy="1341755"/>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81370" cy="1341755"/>
                    </a:xfrm>
                    <a:prstGeom prst="rect">
                      <a:avLst/>
                    </a:prstGeom>
                    <a:noFill/>
                    <a:ln>
                      <a:noFill/>
                    </a:ln>
                  </pic:spPr>
                </pic:pic>
              </a:graphicData>
            </a:graphic>
          </wp:anchor>
        </w:drawing>
      </w:r>
    </w:p>
    <w:p w14:paraId="3B047C58" w14:textId="227312C9" w:rsidR="00611305" w:rsidRDefault="00611305" w:rsidP="00A75FB8">
      <w:pPr>
        <w:spacing w:after="0" w:line="240" w:lineRule="auto"/>
        <w:jc w:val="both"/>
        <w:rPr>
          <w:rFonts w:ascii="Times New Roman" w:eastAsiaTheme="majorEastAsia" w:hAnsi="Times New Roman" w:cstheme="majorBidi"/>
          <w:bCs/>
          <w:sz w:val="24"/>
          <w:szCs w:val="24"/>
        </w:rPr>
      </w:pPr>
    </w:p>
    <w:p w14:paraId="1BD48E63" w14:textId="1CD14578" w:rsidR="0093287A" w:rsidRDefault="0093287A" w:rsidP="0093287A">
      <w:pPr>
        <w:rPr>
          <w:rFonts w:ascii="Times New Roman" w:eastAsiaTheme="majorEastAsia" w:hAnsi="Times New Roman" w:cstheme="majorBidi"/>
          <w:sz w:val="24"/>
          <w:szCs w:val="24"/>
        </w:rPr>
      </w:pPr>
    </w:p>
    <w:p w14:paraId="6DFA9AE1" w14:textId="1E1E28F9" w:rsidR="0093287A" w:rsidRDefault="0093287A" w:rsidP="0093287A">
      <w:pPr>
        <w:pStyle w:val="Ttulo1"/>
        <w:rPr>
          <w:b w:val="0"/>
          <w:bCs/>
          <w:color w:val="auto"/>
          <w:spacing w:val="0"/>
          <w:sz w:val="24"/>
          <w:szCs w:val="24"/>
        </w:rPr>
      </w:pPr>
      <w:bookmarkStart w:id="79" w:name="_Toc66804803"/>
      <w:bookmarkStart w:id="80" w:name="_Toc68891908"/>
      <w:bookmarkStart w:id="81" w:name="_Toc73043625"/>
    </w:p>
    <w:p w14:paraId="01972D54" w14:textId="6C808515" w:rsidR="007A5236" w:rsidRDefault="007A5236" w:rsidP="007A5236"/>
    <w:p w14:paraId="35DB5E56" w14:textId="5C95DB20" w:rsidR="00E52B6C" w:rsidRDefault="00E52B6C" w:rsidP="003F1ED6">
      <w:pPr>
        <w:tabs>
          <w:tab w:val="left" w:pos="1878"/>
        </w:tabs>
        <w:jc w:val="both"/>
        <w:rPr>
          <w:rFonts w:ascii="Times New Roman" w:eastAsiaTheme="majorEastAsia" w:hAnsi="Times New Roman" w:cstheme="majorBidi"/>
          <w:bCs/>
          <w:sz w:val="24"/>
          <w:szCs w:val="24"/>
        </w:rPr>
      </w:pPr>
    </w:p>
    <w:p w14:paraId="2FE39D0A" w14:textId="43EBE059" w:rsidR="004E0C9A" w:rsidRPr="003F1ED6" w:rsidRDefault="00D244DF" w:rsidP="003F1ED6">
      <w:pPr>
        <w:tabs>
          <w:tab w:val="left" w:pos="1878"/>
        </w:tabs>
        <w:jc w:val="both"/>
        <w:rPr>
          <w:rFonts w:ascii="Times New Roman" w:eastAsiaTheme="majorEastAsia" w:hAnsi="Times New Roman" w:cstheme="majorBidi"/>
          <w:bCs/>
          <w:sz w:val="24"/>
          <w:szCs w:val="24"/>
        </w:rPr>
      </w:pPr>
      <w:r w:rsidRPr="003F1ED6">
        <w:rPr>
          <w:rFonts w:ascii="Times New Roman" w:eastAsiaTheme="majorEastAsia" w:hAnsi="Times New Roman" w:cstheme="majorBidi"/>
          <w:bCs/>
          <w:sz w:val="24"/>
          <w:szCs w:val="24"/>
        </w:rPr>
        <w:t xml:space="preserve">Corresponde a los valores de impuestos contribuciones y tasas por pagar </w:t>
      </w:r>
      <w:r w:rsidR="00157B6A" w:rsidRPr="003F1ED6">
        <w:rPr>
          <w:rFonts w:ascii="Times New Roman" w:eastAsiaTheme="majorEastAsia" w:hAnsi="Times New Roman" w:cstheme="majorBidi"/>
          <w:bCs/>
          <w:sz w:val="24"/>
          <w:szCs w:val="24"/>
        </w:rPr>
        <w:t xml:space="preserve">realizados sobre contratos </w:t>
      </w:r>
      <w:r w:rsidRPr="003F1ED6">
        <w:rPr>
          <w:rFonts w:ascii="Times New Roman" w:eastAsiaTheme="majorEastAsia" w:hAnsi="Times New Roman" w:cstheme="majorBidi"/>
          <w:bCs/>
          <w:sz w:val="24"/>
          <w:szCs w:val="24"/>
        </w:rPr>
        <w:t>según Contribución del 5% contrato obra Leyes 1106/06 y 1421/10.</w:t>
      </w:r>
      <w:bookmarkEnd w:id="79"/>
      <w:bookmarkEnd w:id="80"/>
      <w:bookmarkEnd w:id="81"/>
    </w:p>
    <w:p w14:paraId="62F0FCFF" w14:textId="3BEA6B3B" w:rsidR="00F61A78" w:rsidRDefault="00F61A78" w:rsidP="0093287A">
      <w:pPr>
        <w:pStyle w:val="Ttulo3"/>
        <w:numPr>
          <w:ilvl w:val="2"/>
          <w:numId w:val="2"/>
        </w:numPr>
        <w:spacing w:line="240" w:lineRule="auto"/>
        <w:ind w:left="709" w:hanging="709"/>
      </w:pPr>
      <w:bookmarkStart w:id="82" w:name="_Toc99455345"/>
      <w:r>
        <w:t>Otras cuentas por pagar</w:t>
      </w:r>
      <w:bookmarkEnd w:id="82"/>
    </w:p>
    <w:p w14:paraId="42475BA1" w14:textId="197E6873" w:rsidR="00F61A78" w:rsidRDefault="00B566FE" w:rsidP="00F61A78">
      <w:r w:rsidRPr="00B566FE">
        <w:rPr>
          <w:noProof/>
        </w:rPr>
        <w:drawing>
          <wp:anchor distT="0" distB="0" distL="114300" distR="114300" simplePos="0" relativeHeight="252733440" behindDoc="1" locked="0" layoutInCell="1" allowOverlap="1" wp14:anchorId="07F9E406" wp14:editId="5501184E">
            <wp:simplePos x="0" y="0"/>
            <wp:positionH relativeFrom="column">
              <wp:posOffset>0</wp:posOffset>
            </wp:positionH>
            <wp:positionV relativeFrom="paragraph">
              <wp:posOffset>70485</wp:posOffset>
            </wp:positionV>
            <wp:extent cx="5881370" cy="1974850"/>
            <wp:effectExtent l="0" t="0" r="5080" b="635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81370" cy="1974850"/>
                    </a:xfrm>
                    <a:prstGeom prst="rect">
                      <a:avLst/>
                    </a:prstGeom>
                    <a:noFill/>
                    <a:ln>
                      <a:noFill/>
                    </a:ln>
                  </pic:spPr>
                </pic:pic>
              </a:graphicData>
            </a:graphic>
            <wp14:sizeRelV relativeFrom="margin">
              <wp14:pctHeight>0</wp14:pctHeight>
            </wp14:sizeRelV>
          </wp:anchor>
        </w:drawing>
      </w:r>
    </w:p>
    <w:p w14:paraId="14B5AF06" w14:textId="77777777" w:rsidR="000D3FF0" w:rsidRDefault="000D3FF0" w:rsidP="00F61A78">
      <w:pPr>
        <w:jc w:val="both"/>
        <w:rPr>
          <w:rFonts w:ascii="Times New Roman" w:eastAsiaTheme="majorEastAsia" w:hAnsi="Times New Roman" w:cstheme="majorBidi"/>
          <w:bCs/>
          <w:sz w:val="24"/>
          <w:szCs w:val="24"/>
        </w:rPr>
      </w:pPr>
    </w:p>
    <w:p w14:paraId="6D017F89" w14:textId="6E804230" w:rsidR="000D3FF0" w:rsidRDefault="000D3FF0" w:rsidP="00F61A78">
      <w:pPr>
        <w:jc w:val="both"/>
        <w:rPr>
          <w:rFonts w:ascii="Times New Roman" w:eastAsiaTheme="majorEastAsia" w:hAnsi="Times New Roman" w:cstheme="majorBidi"/>
          <w:bCs/>
          <w:sz w:val="24"/>
          <w:szCs w:val="24"/>
        </w:rPr>
      </w:pPr>
    </w:p>
    <w:p w14:paraId="5E0B85C3" w14:textId="56889D45" w:rsidR="000D3FF0" w:rsidRDefault="000D3FF0" w:rsidP="00F61A78">
      <w:pPr>
        <w:jc w:val="both"/>
        <w:rPr>
          <w:rFonts w:ascii="Times New Roman" w:eastAsiaTheme="majorEastAsia" w:hAnsi="Times New Roman" w:cstheme="majorBidi"/>
          <w:bCs/>
          <w:sz w:val="24"/>
          <w:szCs w:val="24"/>
        </w:rPr>
      </w:pPr>
    </w:p>
    <w:p w14:paraId="4CF00985" w14:textId="4C583C14" w:rsidR="000D3FF0" w:rsidRDefault="000D3FF0" w:rsidP="00F61A78">
      <w:pPr>
        <w:jc w:val="both"/>
        <w:rPr>
          <w:rFonts w:ascii="Times New Roman" w:eastAsiaTheme="majorEastAsia" w:hAnsi="Times New Roman" w:cstheme="majorBidi"/>
          <w:bCs/>
          <w:sz w:val="24"/>
          <w:szCs w:val="24"/>
        </w:rPr>
      </w:pPr>
    </w:p>
    <w:p w14:paraId="28409ACB" w14:textId="2DDE8622" w:rsidR="000D3FF0" w:rsidRDefault="000D3FF0" w:rsidP="00F61A78">
      <w:pPr>
        <w:jc w:val="both"/>
        <w:rPr>
          <w:rFonts w:ascii="Times New Roman" w:eastAsiaTheme="majorEastAsia" w:hAnsi="Times New Roman" w:cstheme="majorBidi"/>
          <w:bCs/>
          <w:sz w:val="24"/>
          <w:szCs w:val="24"/>
        </w:rPr>
      </w:pPr>
    </w:p>
    <w:p w14:paraId="163421CF" w14:textId="77777777" w:rsidR="000D3FF0" w:rsidRDefault="000D3FF0" w:rsidP="00F61A78">
      <w:pPr>
        <w:jc w:val="both"/>
        <w:rPr>
          <w:rFonts w:ascii="Times New Roman" w:eastAsiaTheme="majorEastAsia" w:hAnsi="Times New Roman" w:cstheme="majorBidi"/>
          <w:bCs/>
          <w:sz w:val="24"/>
          <w:szCs w:val="24"/>
        </w:rPr>
      </w:pPr>
    </w:p>
    <w:p w14:paraId="22754168" w14:textId="77777777" w:rsidR="00B566FE" w:rsidRDefault="00B566FE" w:rsidP="00DA5A66">
      <w:pPr>
        <w:spacing w:after="0" w:line="240" w:lineRule="auto"/>
        <w:jc w:val="both"/>
        <w:rPr>
          <w:rFonts w:ascii="Times New Roman" w:eastAsiaTheme="majorEastAsia" w:hAnsi="Times New Roman" w:cstheme="majorBidi"/>
          <w:bCs/>
          <w:sz w:val="24"/>
          <w:szCs w:val="24"/>
        </w:rPr>
      </w:pPr>
    </w:p>
    <w:p w14:paraId="01D975D0" w14:textId="16785C2F" w:rsidR="00F61A78" w:rsidRDefault="00F61A78" w:rsidP="00DA5A66">
      <w:pPr>
        <w:spacing w:after="0" w:line="240" w:lineRule="auto"/>
        <w:jc w:val="both"/>
        <w:rPr>
          <w:rFonts w:ascii="Times New Roman" w:eastAsiaTheme="majorEastAsia" w:hAnsi="Times New Roman" w:cstheme="majorBidi"/>
          <w:bCs/>
          <w:sz w:val="24"/>
          <w:szCs w:val="24"/>
        </w:rPr>
      </w:pPr>
      <w:r w:rsidRPr="00F61A78">
        <w:rPr>
          <w:rFonts w:ascii="Times New Roman" w:eastAsiaTheme="majorEastAsia" w:hAnsi="Times New Roman" w:cstheme="majorBidi"/>
          <w:bCs/>
          <w:sz w:val="24"/>
          <w:szCs w:val="24"/>
        </w:rPr>
        <w:t>Este</w:t>
      </w:r>
      <w:r>
        <w:rPr>
          <w:rFonts w:ascii="Times New Roman" w:eastAsiaTheme="majorEastAsia" w:hAnsi="Times New Roman" w:cstheme="majorBidi"/>
          <w:bCs/>
          <w:sz w:val="24"/>
          <w:szCs w:val="24"/>
        </w:rPr>
        <w:t xml:space="preserve"> rubro corresponde a otras cuentas por pagar como son los aportes al ICBF y SENA, servicios públicos, honorarios por pagar.</w:t>
      </w:r>
    </w:p>
    <w:p w14:paraId="47F3E813" w14:textId="77777777" w:rsidR="00E52B6C" w:rsidRDefault="00E52B6C" w:rsidP="00073315">
      <w:pPr>
        <w:pStyle w:val="Ttulo1"/>
      </w:pPr>
      <w:bookmarkStart w:id="83" w:name="_Toc99455346"/>
    </w:p>
    <w:p w14:paraId="44F6E862" w14:textId="001886B1" w:rsidR="00C93FE3" w:rsidRPr="00E2373F" w:rsidRDefault="00C93FE3" w:rsidP="00073315">
      <w:pPr>
        <w:pStyle w:val="Ttulo1"/>
      </w:pPr>
      <w:r w:rsidRPr="00E2373F">
        <w:t>NOTA 2</w:t>
      </w:r>
      <w:r w:rsidR="00B51A07" w:rsidRPr="00E2373F">
        <w:t>2</w:t>
      </w:r>
      <w:r w:rsidRPr="00E2373F">
        <w:t>. BENEFICIOS A LOS EMPLEADOS</w:t>
      </w:r>
      <w:bookmarkEnd w:id="83"/>
    </w:p>
    <w:p w14:paraId="0F88E582" w14:textId="27ACDE4B" w:rsidR="00B51A07" w:rsidRPr="00E2373F" w:rsidRDefault="00B51A07" w:rsidP="006A031F">
      <w:pPr>
        <w:spacing w:after="0" w:line="240" w:lineRule="auto"/>
        <w:jc w:val="both"/>
        <w:rPr>
          <w:rFonts w:ascii="Times New Roman" w:hAnsi="Times New Roman"/>
          <w:b/>
          <w:sz w:val="24"/>
          <w:szCs w:val="24"/>
        </w:rPr>
      </w:pPr>
    </w:p>
    <w:p w14:paraId="11D965ED" w14:textId="69005157" w:rsidR="00B51A07" w:rsidRPr="00EA48AE" w:rsidRDefault="00B51A07" w:rsidP="006A031F">
      <w:pPr>
        <w:pStyle w:val="Ttulo2"/>
        <w:numPr>
          <w:ilvl w:val="0"/>
          <w:numId w:val="0"/>
        </w:numPr>
        <w:spacing w:line="240" w:lineRule="auto"/>
        <w:rPr>
          <w:szCs w:val="22"/>
        </w:rPr>
      </w:pPr>
      <w:bookmarkStart w:id="84" w:name="_Toc99455347"/>
      <w:r w:rsidRPr="00EA48AE">
        <w:rPr>
          <w:szCs w:val="22"/>
        </w:rPr>
        <w:t>Composición</w:t>
      </w:r>
      <w:bookmarkEnd w:id="84"/>
    </w:p>
    <w:p w14:paraId="5C27E354" w14:textId="29EB9BB6" w:rsidR="00B51A07" w:rsidRPr="00E2373F" w:rsidRDefault="00B51A07" w:rsidP="006A031F">
      <w:pPr>
        <w:spacing w:after="0" w:line="240" w:lineRule="auto"/>
        <w:jc w:val="both"/>
        <w:rPr>
          <w:rFonts w:ascii="Times New Roman" w:hAnsi="Times New Roman"/>
          <w:b/>
          <w:sz w:val="24"/>
          <w:szCs w:val="24"/>
        </w:rPr>
      </w:pPr>
    </w:p>
    <w:p w14:paraId="654ABAF2" w14:textId="51BA6E72" w:rsidR="00B51A07" w:rsidRDefault="00551D4F" w:rsidP="00815BB1">
      <w:pPr>
        <w:spacing w:after="0" w:line="240" w:lineRule="auto"/>
        <w:jc w:val="both"/>
        <w:rPr>
          <w:rFonts w:ascii="Times New Roman" w:hAnsi="Times New Roman"/>
          <w:sz w:val="24"/>
          <w:szCs w:val="24"/>
        </w:rPr>
      </w:pPr>
      <w:r w:rsidRPr="00551D4F">
        <w:rPr>
          <w:rFonts w:ascii="Times New Roman" w:hAnsi="Times New Roman"/>
          <w:sz w:val="24"/>
          <w:szCs w:val="24"/>
        </w:rPr>
        <w:t xml:space="preserve">La desagregación de los beneficios a los empleados presentada en el estado de situación financiera individual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551D4F">
        <w:rPr>
          <w:rFonts w:ascii="Times New Roman" w:hAnsi="Times New Roman"/>
          <w:sz w:val="24"/>
          <w:szCs w:val="24"/>
        </w:rPr>
        <w:t>es la siguiente:</w:t>
      </w:r>
    </w:p>
    <w:p w14:paraId="54B11245" w14:textId="7F9F69D7" w:rsidR="00485F3B" w:rsidRDefault="00B566FE" w:rsidP="00815BB1">
      <w:pPr>
        <w:spacing w:after="0" w:line="240" w:lineRule="auto"/>
        <w:jc w:val="both"/>
        <w:rPr>
          <w:noProof/>
        </w:rPr>
      </w:pPr>
      <w:r w:rsidRPr="00B566FE">
        <w:rPr>
          <w:noProof/>
        </w:rPr>
        <w:drawing>
          <wp:anchor distT="0" distB="0" distL="114300" distR="114300" simplePos="0" relativeHeight="252734464" behindDoc="1" locked="0" layoutInCell="1" allowOverlap="1" wp14:anchorId="051EC98C" wp14:editId="21D77408">
            <wp:simplePos x="0" y="0"/>
            <wp:positionH relativeFrom="column">
              <wp:posOffset>0</wp:posOffset>
            </wp:positionH>
            <wp:positionV relativeFrom="paragraph">
              <wp:posOffset>90170</wp:posOffset>
            </wp:positionV>
            <wp:extent cx="5881370" cy="1120140"/>
            <wp:effectExtent l="0" t="0" r="5080" b="381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1370" cy="1120140"/>
                    </a:xfrm>
                    <a:prstGeom prst="rect">
                      <a:avLst/>
                    </a:prstGeom>
                    <a:noFill/>
                    <a:ln>
                      <a:noFill/>
                    </a:ln>
                  </pic:spPr>
                </pic:pic>
              </a:graphicData>
            </a:graphic>
          </wp:anchor>
        </w:drawing>
      </w:r>
    </w:p>
    <w:p w14:paraId="2C4937D6" w14:textId="0F11A95D" w:rsidR="00E327BA" w:rsidRDefault="00E327BA" w:rsidP="00815BB1">
      <w:pPr>
        <w:spacing w:after="0" w:line="240" w:lineRule="auto"/>
        <w:jc w:val="both"/>
        <w:rPr>
          <w:noProof/>
        </w:rPr>
      </w:pPr>
    </w:p>
    <w:p w14:paraId="4A8D7EE1" w14:textId="03A6E2EA" w:rsidR="001F5972" w:rsidRDefault="001F5972" w:rsidP="00815BB1">
      <w:pPr>
        <w:spacing w:after="0" w:line="240" w:lineRule="auto"/>
        <w:jc w:val="both"/>
        <w:rPr>
          <w:rFonts w:ascii="Times New Roman" w:hAnsi="Times New Roman"/>
          <w:sz w:val="24"/>
          <w:szCs w:val="24"/>
        </w:rPr>
      </w:pPr>
    </w:p>
    <w:p w14:paraId="6E4B3412" w14:textId="11CEF710" w:rsidR="002B3EBE" w:rsidRDefault="002B3EBE" w:rsidP="00815BB1">
      <w:pPr>
        <w:spacing w:after="0" w:line="240" w:lineRule="auto"/>
        <w:jc w:val="both"/>
        <w:rPr>
          <w:rFonts w:ascii="Times New Roman" w:hAnsi="Times New Roman"/>
          <w:sz w:val="24"/>
          <w:szCs w:val="24"/>
        </w:rPr>
      </w:pPr>
    </w:p>
    <w:p w14:paraId="7C7D6581" w14:textId="06BD11CB" w:rsidR="001612CC" w:rsidRDefault="001612CC" w:rsidP="00815BB1">
      <w:pPr>
        <w:spacing w:after="0" w:line="240" w:lineRule="auto"/>
        <w:jc w:val="both"/>
        <w:rPr>
          <w:rFonts w:ascii="Times New Roman" w:hAnsi="Times New Roman"/>
          <w:sz w:val="24"/>
          <w:szCs w:val="24"/>
        </w:rPr>
      </w:pPr>
    </w:p>
    <w:p w14:paraId="6E37D5BB" w14:textId="5D03462F" w:rsidR="004116D8" w:rsidRDefault="004116D8" w:rsidP="00667BC9">
      <w:pPr>
        <w:spacing w:after="0" w:line="240" w:lineRule="auto"/>
        <w:jc w:val="both"/>
        <w:rPr>
          <w:rFonts w:ascii="Times New Roman" w:hAnsi="Times New Roman"/>
          <w:b/>
          <w:sz w:val="24"/>
          <w:szCs w:val="24"/>
        </w:rPr>
      </w:pPr>
    </w:p>
    <w:p w14:paraId="61A872FB" w14:textId="0454783C" w:rsidR="004116D8" w:rsidRDefault="004116D8" w:rsidP="00667BC9">
      <w:pPr>
        <w:spacing w:after="0" w:line="240" w:lineRule="auto"/>
        <w:jc w:val="both"/>
        <w:rPr>
          <w:rFonts w:ascii="Times New Roman" w:hAnsi="Times New Roman"/>
          <w:b/>
          <w:sz w:val="24"/>
          <w:szCs w:val="24"/>
        </w:rPr>
      </w:pPr>
    </w:p>
    <w:p w14:paraId="33186B98" w14:textId="1048D647" w:rsidR="004116D8" w:rsidRDefault="004116D8" w:rsidP="00667BC9">
      <w:pPr>
        <w:spacing w:after="0" w:line="240" w:lineRule="auto"/>
        <w:jc w:val="both"/>
        <w:rPr>
          <w:rFonts w:ascii="Times New Roman" w:hAnsi="Times New Roman"/>
          <w:b/>
          <w:sz w:val="24"/>
          <w:szCs w:val="24"/>
        </w:rPr>
      </w:pPr>
    </w:p>
    <w:p w14:paraId="5A4E139C" w14:textId="76686BB8" w:rsidR="00E351B1" w:rsidRDefault="00FA4A5C" w:rsidP="00667BC9">
      <w:pPr>
        <w:spacing w:after="0" w:line="240" w:lineRule="auto"/>
        <w:jc w:val="both"/>
        <w:rPr>
          <w:rFonts w:ascii="Times New Roman" w:hAnsi="Times New Roman"/>
          <w:b/>
          <w:sz w:val="24"/>
          <w:szCs w:val="24"/>
        </w:rPr>
      </w:pPr>
      <w:r w:rsidRPr="004A6753">
        <w:rPr>
          <w:rFonts w:ascii="Times New Roman" w:hAnsi="Times New Roman"/>
          <w:b/>
          <w:sz w:val="24"/>
          <w:szCs w:val="24"/>
        </w:rPr>
        <w:t>Detalle de B</w:t>
      </w:r>
      <w:r w:rsidR="00CE2B84" w:rsidRPr="004A6753">
        <w:rPr>
          <w:rFonts w:ascii="Times New Roman" w:hAnsi="Times New Roman"/>
          <w:b/>
          <w:sz w:val="24"/>
          <w:szCs w:val="24"/>
        </w:rPr>
        <w:t>eneficios</w:t>
      </w:r>
      <w:r w:rsidRPr="004A6753">
        <w:rPr>
          <w:rFonts w:ascii="Times New Roman" w:hAnsi="Times New Roman"/>
          <w:b/>
          <w:sz w:val="24"/>
          <w:szCs w:val="24"/>
        </w:rPr>
        <w:t xml:space="preserve"> y Plan de Activos</w:t>
      </w:r>
    </w:p>
    <w:p w14:paraId="6AA396EC" w14:textId="7F954508" w:rsidR="00887E25" w:rsidRPr="004A6753" w:rsidRDefault="00887E25" w:rsidP="00667BC9">
      <w:pPr>
        <w:spacing w:after="0" w:line="240" w:lineRule="auto"/>
        <w:jc w:val="both"/>
        <w:rPr>
          <w:rFonts w:ascii="Times New Roman" w:hAnsi="Times New Roman"/>
          <w:b/>
          <w:sz w:val="24"/>
          <w:szCs w:val="24"/>
        </w:rPr>
      </w:pPr>
    </w:p>
    <w:p w14:paraId="400991FF" w14:textId="34F9E04B" w:rsidR="00E351B1" w:rsidRPr="00EA48AE" w:rsidRDefault="0078139C" w:rsidP="00425DA9">
      <w:pPr>
        <w:pStyle w:val="Ttulo2"/>
        <w:numPr>
          <w:ilvl w:val="1"/>
          <w:numId w:val="14"/>
        </w:numPr>
        <w:ind w:left="567" w:hanging="567"/>
        <w:rPr>
          <w:szCs w:val="22"/>
        </w:rPr>
      </w:pPr>
      <w:bookmarkStart w:id="85" w:name="_Toc99455348"/>
      <w:r w:rsidRPr="00EA48AE">
        <w:rPr>
          <w:szCs w:val="22"/>
        </w:rPr>
        <w:t>Beneficios a los empleados a corto plazo</w:t>
      </w:r>
      <w:bookmarkEnd w:id="85"/>
    </w:p>
    <w:p w14:paraId="06551040" w14:textId="3839FB2A" w:rsidR="002B3EBE" w:rsidRDefault="00B566FE" w:rsidP="002B3EBE">
      <w:pPr>
        <w:spacing w:after="0" w:line="240" w:lineRule="auto"/>
        <w:jc w:val="both"/>
        <w:rPr>
          <w:rFonts w:ascii="Times New Roman" w:hAnsi="Times New Roman"/>
          <w:sz w:val="24"/>
          <w:szCs w:val="24"/>
        </w:rPr>
      </w:pPr>
      <w:r w:rsidRPr="00B566FE">
        <w:rPr>
          <w:noProof/>
        </w:rPr>
        <w:drawing>
          <wp:anchor distT="0" distB="0" distL="114300" distR="114300" simplePos="0" relativeHeight="252735488" behindDoc="1" locked="0" layoutInCell="1" allowOverlap="1" wp14:anchorId="23C9A6C0" wp14:editId="0614096D">
            <wp:simplePos x="0" y="0"/>
            <wp:positionH relativeFrom="column">
              <wp:posOffset>679450</wp:posOffset>
            </wp:positionH>
            <wp:positionV relativeFrom="paragraph">
              <wp:posOffset>126365</wp:posOffset>
            </wp:positionV>
            <wp:extent cx="4679950" cy="1962150"/>
            <wp:effectExtent l="0" t="0" r="635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9950" cy="1962150"/>
                    </a:xfrm>
                    <a:prstGeom prst="rect">
                      <a:avLst/>
                    </a:prstGeom>
                    <a:noFill/>
                    <a:ln>
                      <a:noFill/>
                    </a:ln>
                  </pic:spPr>
                </pic:pic>
              </a:graphicData>
            </a:graphic>
          </wp:anchor>
        </w:drawing>
      </w:r>
    </w:p>
    <w:p w14:paraId="05D481F0" w14:textId="4FEFA92D" w:rsidR="002B3EBE" w:rsidRPr="002B3EBE" w:rsidRDefault="002B3EBE" w:rsidP="002B3EBE">
      <w:pPr>
        <w:spacing w:after="0" w:line="240" w:lineRule="auto"/>
        <w:jc w:val="both"/>
        <w:rPr>
          <w:rFonts w:ascii="Times New Roman" w:hAnsi="Times New Roman"/>
          <w:sz w:val="24"/>
          <w:szCs w:val="24"/>
        </w:rPr>
      </w:pPr>
    </w:p>
    <w:p w14:paraId="54C2E221" w14:textId="4401C6A4" w:rsidR="00CA148B" w:rsidRPr="00E2373F" w:rsidRDefault="00CA148B" w:rsidP="00667BC9">
      <w:pPr>
        <w:spacing w:after="0" w:line="240" w:lineRule="auto"/>
        <w:jc w:val="center"/>
        <w:rPr>
          <w:rFonts w:ascii="Times New Roman" w:hAnsi="Times New Roman"/>
          <w:sz w:val="24"/>
          <w:szCs w:val="24"/>
        </w:rPr>
      </w:pPr>
    </w:p>
    <w:p w14:paraId="20F903CF" w14:textId="48A7C0DA" w:rsidR="00CA148B" w:rsidRDefault="00CA148B" w:rsidP="00667BC9">
      <w:pPr>
        <w:spacing w:after="0" w:line="240" w:lineRule="auto"/>
        <w:jc w:val="both"/>
        <w:rPr>
          <w:rFonts w:ascii="Times New Roman" w:hAnsi="Times New Roman"/>
          <w:sz w:val="24"/>
          <w:szCs w:val="24"/>
        </w:rPr>
      </w:pPr>
    </w:p>
    <w:p w14:paraId="669E4C4D" w14:textId="0F890073" w:rsidR="007145C4" w:rsidRDefault="007145C4" w:rsidP="00667BC9">
      <w:pPr>
        <w:spacing w:after="0" w:line="240" w:lineRule="auto"/>
        <w:jc w:val="both"/>
        <w:rPr>
          <w:rFonts w:ascii="Times New Roman" w:hAnsi="Times New Roman"/>
          <w:sz w:val="24"/>
          <w:szCs w:val="24"/>
        </w:rPr>
      </w:pPr>
    </w:p>
    <w:p w14:paraId="15E2E4D7" w14:textId="3C71D443" w:rsidR="007145C4" w:rsidRDefault="007145C4" w:rsidP="00667BC9">
      <w:pPr>
        <w:spacing w:after="0" w:line="240" w:lineRule="auto"/>
        <w:jc w:val="both"/>
        <w:rPr>
          <w:rFonts w:ascii="Times New Roman" w:hAnsi="Times New Roman"/>
          <w:sz w:val="24"/>
          <w:szCs w:val="24"/>
        </w:rPr>
      </w:pPr>
    </w:p>
    <w:p w14:paraId="75E8E51B" w14:textId="02AA23B0" w:rsidR="007145C4" w:rsidRDefault="007145C4" w:rsidP="00667BC9">
      <w:pPr>
        <w:spacing w:after="0" w:line="240" w:lineRule="auto"/>
        <w:jc w:val="both"/>
        <w:rPr>
          <w:rFonts w:ascii="Times New Roman" w:hAnsi="Times New Roman"/>
          <w:sz w:val="24"/>
          <w:szCs w:val="24"/>
        </w:rPr>
      </w:pPr>
    </w:p>
    <w:p w14:paraId="3B46847B" w14:textId="77777777" w:rsidR="00887E25" w:rsidRDefault="00887E25" w:rsidP="004108EE">
      <w:pPr>
        <w:spacing w:after="0" w:line="240" w:lineRule="auto"/>
        <w:jc w:val="both"/>
        <w:rPr>
          <w:rFonts w:ascii="Times New Roman" w:hAnsi="Times New Roman"/>
          <w:sz w:val="24"/>
          <w:szCs w:val="24"/>
        </w:rPr>
      </w:pPr>
    </w:p>
    <w:p w14:paraId="2A192CEC" w14:textId="77777777" w:rsidR="0010264E" w:rsidRDefault="0010264E" w:rsidP="004108EE">
      <w:pPr>
        <w:spacing w:after="0" w:line="240" w:lineRule="auto"/>
        <w:jc w:val="both"/>
        <w:rPr>
          <w:rFonts w:ascii="Times New Roman" w:hAnsi="Times New Roman"/>
          <w:sz w:val="24"/>
          <w:szCs w:val="24"/>
        </w:rPr>
      </w:pPr>
    </w:p>
    <w:p w14:paraId="18198238" w14:textId="77777777" w:rsidR="0010264E" w:rsidRDefault="0010264E" w:rsidP="004108EE">
      <w:pPr>
        <w:spacing w:after="0" w:line="240" w:lineRule="auto"/>
        <w:jc w:val="both"/>
        <w:rPr>
          <w:rFonts w:ascii="Times New Roman" w:hAnsi="Times New Roman"/>
          <w:sz w:val="24"/>
          <w:szCs w:val="24"/>
        </w:rPr>
      </w:pPr>
    </w:p>
    <w:p w14:paraId="54405FF1" w14:textId="77777777" w:rsidR="0010264E" w:rsidRDefault="0010264E" w:rsidP="004108EE">
      <w:pPr>
        <w:spacing w:after="0" w:line="240" w:lineRule="auto"/>
        <w:jc w:val="both"/>
        <w:rPr>
          <w:rFonts w:ascii="Times New Roman" w:hAnsi="Times New Roman"/>
          <w:sz w:val="24"/>
          <w:szCs w:val="24"/>
        </w:rPr>
      </w:pPr>
    </w:p>
    <w:p w14:paraId="4D79A8CB" w14:textId="77777777" w:rsidR="0010264E" w:rsidRDefault="0010264E" w:rsidP="004108EE">
      <w:pPr>
        <w:spacing w:after="0" w:line="240" w:lineRule="auto"/>
        <w:jc w:val="both"/>
        <w:rPr>
          <w:rFonts w:ascii="Times New Roman" w:hAnsi="Times New Roman"/>
          <w:sz w:val="24"/>
          <w:szCs w:val="24"/>
        </w:rPr>
      </w:pPr>
    </w:p>
    <w:p w14:paraId="0949B7FC" w14:textId="77777777" w:rsidR="00B566FE" w:rsidRDefault="00B566FE" w:rsidP="004108EE">
      <w:pPr>
        <w:spacing w:after="0" w:line="240" w:lineRule="auto"/>
        <w:jc w:val="both"/>
        <w:rPr>
          <w:rFonts w:ascii="Times New Roman" w:hAnsi="Times New Roman"/>
          <w:sz w:val="24"/>
          <w:szCs w:val="24"/>
        </w:rPr>
      </w:pPr>
    </w:p>
    <w:p w14:paraId="0D23501A" w14:textId="4DBB7475" w:rsidR="004108EE" w:rsidRPr="004108EE" w:rsidRDefault="004108EE" w:rsidP="004108EE">
      <w:pPr>
        <w:spacing w:after="0" w:line="240" w:lineRule="auto"/>
        <w:jc w:val="both"/>
        <w:rPr>
          <w:rFonts w:ascii="Times New Roman" w:hAnsi="Times New Roman"/>
          <w:sz w:val="24"/>
          <w:szCs w:val="24"/>
        </w:rPr>
      </w:pPr>
      <w:r w:rsidRPr="004108EE">
        <w:rPr>
          <w:rFonts w:ascii="Times New Roman" w:hAnsi="Times New Roman"/>
          <w:sz w:val="24"/>
          <w:szCs w:val="24"/>
        </w:rPr>
        <w:t xml:space="preserve">La entidad reconoce como beneficios a los empleados a corto plazo, aquellos otorgados a los empleados que hayan prestado sus servicios a la empresa durante el periodo contable, cuya obligación de pago vence dentro de los 12 meses siguientes al cierre </w:t>
      </w:r>
      <w:r w:rsidR="000A63EB" w:rsidRPr="004108EE">
        <w:rPr>
          <w:rFonts w:ascii="Times New Roman" w:hAnsi="Times New Roman"/>
          <w:sz w:val="24"/>
          <w:szCs w:val="24"/>
        </w:rPr>
        <w:t>de este</w:t>
      </w:r>
      <w:r w:rsidRPr="004108EE">
        <w:rPr>
          <w:rFonts w:ascii="Times New Roman" w:hAnsi="Times New Roman"/>
          <w:sz w:val="24"/>
          <w:szCs w:val="24"/>
        </w:rPr>
        <w:t>. La entidad reconoce como beneficios a empleados a corto plazo los siguientes:</w:t>
      </w:r>
    </w:p>
    <w:p w14:paraId="1EC4B8BC" w14:textId="77777777" w:rsidR="004108EE" w:rsidRDefault="004108EE" w:rsidP="004108EE">
      <w:pPr>
        <w:spacing w:after="0" w:line="240" w:lineRule="auto"/>
        <w:jc w:val="both"/>
        <w:rPr>
          <w:rFonts w:ascii="Times New Roman" w:hAnsi="Times New Roman"/>
          <w:sz w:val="24"/>
          <w:szCs w:val="24"/>
        </w:rPr>
      </w:pPr>
    </w:p>
    <w:p w14:paraId="7BEFBC1D" w14:textId="77777777" w:rsidR="004108EE" w:rsidRPr="004108EE" w:rsidRDefault="004108EE" w:rsidP="00887E25">
      <w:pPr>
        <w:spacing w:after="0" w:line="240" w:lineRule="auto"/>
        <w:ind w:left="708"/>
        <w:jc w:val="both"/>
        <w:rPr>
          <w:rFonts w:ascii="Times New Roman" w:hAnsi="Times New Roman"/>
          <w:sz w:val="24"/>
          <w:szCs w:val="24"/>
        </w:rPr>
      </w:pPr>
      <w:r w:rsidRPr="004108EE">
        <w:rPr>
          <w:rFonts w:ascii="Times New Roman" w:hAnsi="Times New Roman"/>
          <w:sz w:val="24"/>
          <w:szCs w:val="24"/>
        </w:rPr>
        <w:t>i. Sueldos, horas extras y subsidio de transporte.</w:t>
      </w:r>
    </w:p>
    <w:p w14:paraId="3710B11A" w14:textId="77777777" w:rsidR="004108EE" w:rsidRPr="004108EE" w:rsidRDefault="004108EE" w:rsidP="00887E25">
      <w:pPr>
        <w:spacing w:after="0" w:line="240" w:lineRule="auto"/>
        <w:ind w:left="708"/>
        <w:jc w:val="both"/>
        <w:rPr>
          <w:rFonts w:ascii="Times New Roman" w:hAnsi="Times New Roman"/>
          <w:sz w:val="24"/>
          <w:szCs w:val="24"/>
        </w:rPr>
      </w:pPr>
      <w:r w:rsidRPr="004108EE">
        <w:rPr>
          <w:rFonts w:ascii="Times New Roman" w:hAnsi="Times New Roman"/>
          <w:sz w:val="24"/>
          <w:szCs w:val="24"/>
        </w:rPr>
        <w:t>ii. Prestaciones sociales (Cesantías, intereses a las cesantías, primas, vacaciones).</w:t>
      </w:r>
    </w:p>
    <w:p w14:paraId="166702FF" w14:textId="77777777" w:rsidR="004108EE" w:rsidRPr="004108EE" w:rsidRDefault="004108EE" w:rsidP="00887E25">
      <w:pPr>
        <w:spacing w:after="0" w:line="240" w:lineRule="auto"/>
        <w:ind w:left="708"/>
        <w:jc w:val="both"/>
        <w:rPr>
          <w:rFonts w:ascii="Times New Roman" w:hAnsi="Times New Roman"/>
          <w:sz w:val="24"/>
          <w:szCs w:val="24"/>
        </w:rPr>
      </w:pPr>
      <w:r w:rsidRPr="004108EE">
        <w:rPr>
          <w:rFonts w:ascii="Times New Roman" w:hAnsi="Times New Roman"/>
          <w:sz w:val="24"/>
          <w:szCs w:val="24"/>
        </w:rPr>
        <w:t>iii. Pago aportes parafiscales y seguridad social (EPS, AFP, SENA, ICBF, Caja de Compensación).</w:t>
      </w:r>
    </w:p>
    <w:p w14:paraId="08EAAE3B" w14:textId="77777777" w:rsidR="004108EE" w:rsidRPr="004108EE" w:rsidRDefault="004108EE" w:rsidP="00887E25">
      <w:pPr>
        <w:spacing w:after="0" w:line="240" w:lineRule="auto"/>
        <w:ind w:left="708"/>
        <w:jc w:val="both"/>
        <w:rPr>
          <w:rFonts w:ascii="Times New Roman" w:hAnsi="Times New Roman"/>
          <w:sz w:val="24"/>
          <w:szCs w:val="24"/>
        </w:rPr>
      </w:pPr>
      <w:r w:rsidRPr="004108EE">
        <w:rPr>
          <w:rFonts w:ascii="Times New Roman" w:hAnsi="Times New Roman"/>
          <w:sz w:val="24"/>
          <w:szCs w:val="24"/>
        </w:rPr>
        <w:t>iv. Otros (beneficios no monetarios, etc.)</w:t>
      </w:r>
    </w:p>
    <w:p w14:paraId="2E2ACCC0" w14:textId="77777777" w:rsidR="004108EE" w:rsidRPr="004108EE" w:rsidRDefault="004108EE" w:rsidP="004108EE">
      <w:pPr>
        <w:spacing w:after="0" w:line="240" w:lineRule="auto"/>
        <w:jc w:val="both"/>
        <w:rPr>
          <w:rFonts w:ascii="Times New Roman" w:hAnsi="Times New Roman"/>
          <w:sz w:val="24"/>
          <w:szCs w:val="24"/>
        </w:rPr>
      </w:pPr>
    </w:p>
    <w:p w14:paraId="4AC624D6" w14:textId="77777777" w:rsidR="0010264E" w:rsidRDefault="0010264E" w:rsidP="004108EE">
      <w:pPr>
        <w:spacing w:after="0" w:line="240" w:lineRule="auto"/>
        <w:jc w:val="both"/>
        <w:rPr>
          <w:rFonts w:ascii="Times New Roman" w:hAnsi="Times New Roman"/>
          <w:sz w:val="24"/>
          <w:szCs w:val="24"/>
        </w:rPr>
      </w:pPr>
    </w:p>
    <w:p w14:paraId="0268272E" w14:textId="77777777" w:rsidR="0010264E" w:rsidRDefault="0010264E" w:rsidP="004108EE">
      <w:pPr>
        <w:spacing w:after="0" w:line="240" w:lineRule="auto"/>
        <w:jc w:val="both"/>
        <w:rPr>
          <w:rFonts w:ascii="Times New Roman" w:hAnsi="Times New Roman"/>
          <w:sz w:val="24"/>
          <w:szCs w:val="24"/>
        </w:rPr>
      </w:pPr>
    </w:p>
    <w:p w14:paraId="3AFDA7E2" w14:textId="2E801310" w:rsidR="004108EE" w:rsidRPr="004108EE" w:rsidRDefault="004108EE" w:rsidP="004108EE">
      <w:pPr>
        <w:spacing w:after="0" w:line="240" w:lineRule="auto"/>
        <w:jc w:val="both"/>
        <w:rPr>
          <w:rFonts w:ascii="Times New Roman" w:hAnsi="Times New Roman"/>
          <w:sz w:val="24"/>
          <w:szCs w:val="24"/>
        </w:rPr>
      </w:pPr>
      <w:r w:rsidRPr="004108EE">
        <w:rPr>
          <w:rFonts w:ascii="Times New Roman" w:hAnsi="Times New Roman"/>
          <w:sz w:val="24"/>
          <w:szCs w:val="24"/>
        </w:rPr>
        <w:t>Los beneficios a empleados a corto plazo se reconocen como un gasto y un pasivo cuando la entidad consuma el beneficio económico procedente del servicio prestado por el empleado a cambio de los beneficios otorgados.</w:t>
      </w:r>
    </w:p>
    <w:p w14:paraId="301E638B" w14:textId="77777777" w:rsidR="004108EE" w:rsidRPr="004108EE" w:rsidRDefault="004108EE" w:rsidP="004108EE">
      <w:pPr>
        <w:spacing w:after="0" w:line="240" w:lineRule="auto"/>
        <w:jc w:val="both"/>
        <w:rPr>
          <w:rFonts w:ascii="Times New Roman" w:hAnsi="Times New Roman"/>
          <w:sz w:val="24"/>
          <w:szCs w:val="24"/>
        </w:rPr>
      </w:pPr>
    </w:p>
    <w:p w14:paraId="18DD8831" w14:textId="77777777" w:rsidR="004108EE" w:rsidRPr="004108EE" w:rsidRDefault="004108EE" w:rsidP="004108EE">
      <w:pPr>
        <w:spacing w:after="0" w:line="240" w:lineRule="auto"/>
        <w:jc w:val="both"/>
        <w:rPr>
          <w:rFonts w:ascii="Times New Roman" w:hAnsi="Times New Roman"/>
          <w:sz w:val="24"/>
          <w:szCs w:val="24"/>
        </w:rPr>
      </w:pPr>
      <w:r w:rsidRPr="004108EE">
        <w:rPr>
          <w:rFonts w:ascii="Times New Roman" w:hAnsi="Times New Roman"/>
          <w:sz w:val="24"/>
          <w:szCs w:val="24"/>
        </w:rPr>
        <w:t>La entidad mide los beneficios a empleados a corto plazo por el valor de la obligación derivada de los beneficios definidos al final del periodo contable, después de deducir cualquier pago anticipado si los hubiere.</w:t>
      </w:r>
    </w:p>
    <w:p w14:paraId="05BE783A" w14:textId="77777777" w:rsidR="004108EE" w:rsidRPr="004108EE" w:rsidRDefault="004108EE" w:rsidP="004108EE">
      <w:pPr>
        <w:spacing w:after="0" w:line="240" w:lineRule="auto"/>
        <w:jc w:val="both"/>
        <w:rPr>
          <w:rFonts w:ascii="Times New Roman" w:hAnsi="Times New Roman"/>
          <w:sz w:val="24"/>
          <w:szCs w:val="24"/>
        </w:rPr>
      </w:pPr>
    </w:p>
    <w:p w14:paraId="7716F3ED" w14:textId="77777777" w:rsidR="004108EE" w:rsidRPr="004108EE" w:rsidRDefault="004108EE" w:rsidP="004108EE">
      <w:pPr>
        <w:spacing w:after="0" w:line="240" w:lineRule="auto"/>
        <w:jc w:val="both"/>
        <w:rPr>
          <w:rFonts w:ascii="Times New Roman" w:hAnsi="Times New Roman"/>
          <w:sz w:val="24"/>
          <w:szCs w:val="24"/>
        </w:rPr>
      </w:pPr>
      <w:r w:rsidRPr="004108EE">
        <w:rPr>
          <w:rFonts w:ascii="Times New Roman" w:hAnsi="Times New Roman"/>
          <w:sz w:val="24"/>
          <w:szCs w:val="24"/>
        </w:rPr>
        <w:t>Las estimaciones relacionadas con prestaciones sociales por concepto de vacaciones, prima de vacaciones y prima de servicios, se realizaron a partir de las disposiciones legales vigentes que le aplica a la planta de personal del sector público.</w:t>
      </w:r>
    </w:p>
    <w:p w14:paraId="42DC2235" w14:textId="6E26A171" w:rsidR="007145C4" w:rsidRPr="004108EE" w:rsidRDefault="004108EE" w:rsidP="004108EE">
      <w:pPr>
        <w:spacing w:after="0" w:line="240" w:lineRule="auto"/>
        <w:jc w:val="both"/>
        <w:rPr>
          <w:rFonts w:ascii="Times New Roman" w:hAnsi="Times New Roman"/>
          <w:sz w:val="24"/>
          <w:szCs w:val="24"/>
        </w:rPr>
      </w:pPr>
      <w:r w:rsidRPr="004108EE">
        <w:rPr>
          <w:rFonts w:ascii="Times New Roman" w:hAnsi="Times New Roman"/>
          <w:sz w:val="24"/>
          <w:szCs w:val="24"/>
        </w:rPr>
        <w:t>La entidad no ofrece ningún plan de beneficios definidos post empleo ni a largo plazo, que necesiten de suposiciones actuariales para medir las obligaciones contraídas y el gasto correspondiente a cada período, además de que se presente la posibilidad de tener ganancias o pérdidas actuariales.</w:t>
      </w:r>
    </w:p>
    <w:p w14:paraId="18356ECF" w14:textId="56149D3B" w:rsidR="00F57FD9" w:rsidRDefault="00F57FD9" w:rsidP="00F57FD9"/>
    <w:p w14:paraId="7C65C096" w14:textId="54978C51" w:rsidR="00567A22" w:rsidRPr="00E2373F" w:rsidRDefault="00F249E8" w:rsidP="00F57FD9">
      <w:pPr>
        <w:pStyle w:val="Ttulo1"/>
      </w:pPr>
      <w:bookmarkStart w:id="86" w:name="_Toc99455349"/>
      <w:r w:rsidRPr="00E2373F">
        <w:t>NOTA 2</w:t>
      </w:r>
      <w:r w:rsidR="0019476F" w:rsidRPr="00E2373F">
        <w:t>3</w:t>
      </w:r>
      <w:r w:rsidRPr="00E2373F">
        <w:t>. PROVISIONES</w:t>
      </w:r>
      <w:bookmarkEnd w:id="86"/>
    </w:p>
    <w:p w14:paraId="33F578D2" w14:textId="77777777" w:rsidR="00F57FD9" w:rsidRDefault="00F57FD9" w:rsidP="00F57FD9">
      <w:pPr>
        <w:pStyle w:val="Ttulo2"/>
        <w:numPr>
          <w:ilvl w:val="0"/>
          <w:numId w:val="0"/>
        </w:numPr>
        <w:spacing w:line="240" w:lineRule="auto"/>
        <w:rPr>
          <w:szCs w:val="22"/>
        </w:rPr>
      </w:pPr>
    </w:p>
    <w:p w14:paraId="7C827540" w14:textId="5905054A" w:rsidR="007A0A1C" w:rsidRPr="00B13C8A" w:rsidRDefault="007A0A1C" w:rsidP="00F57FD9">
      <w:pPr>
        <w:pStyle w:val="Ttulo2"/>
        <w:numPr>
          <w:ilvl w:val="0"/>
          <w:numId w:val="0"/>
        </w:numPr>
        <w:spacing w:line="240" w:lineRule="auto"/>
        <w:rPr>
          <w:szCs w:val="22"/>
        </w:rPr>
      </w:pPr>
      <w:bookmarkStart w:id="87" w:name="_Toc99455350"/>
      <w:r w:rsidRPr="00B13C8A">
        <w:rPr>
          <w:szCs w:val="22"/>
        </w:rPr>
        <w:t>Composición</w:t>
      </w:r>
      <w:bookmarkEnd w:id="87"/>
    </w:p>
    <w:p w14:paraId="4D27B697" w14:textId="05D18BEB" w:rsidR="007A0A1C" w:rsidRDefault="00B566FE" w:rsidP="00667BC9">
      <w:pPr>
        <w:pStyle w:val="Prrafodelista"/>
        <w:spacing w:after="0" w:line="240" w:lineRule="auto"/>
        <w:jc w:val="both"/>
        <w:rPr>
          <w:rFonts w:ascii="Times New Roman" w:hAnsi="Times New Roman"/>
          <w:sz w:val="24"/>
          <w:szCs w:val="24"/>
          <w:u w:val="single"/>
        </w:rPr>
      </w:pPr>
      <w:r w:rsidRPr="00B566FE">
        <w:rPr>
          <w:noProof/>
        </w:rPr>
        <w:drawing>
          <wp:anchor distT="0" distB="0" distL="114300" distR="114300" simplePos="0" relativeHeight="252736512" behindDoc="1" locked="0" layoutInCell="1" allowOverlap="1" wp14:anchorId="39002E61" wp14:editId="0EB37ABD">
            <wp:simplePos x="0" y="0"/>
            <wp:positionH relativeFrom="column">
              <wp:posOffset>-31750</wp:posOffset>
            </wp:positionH>
            <wp:positionV relativeFrom="paragraph">
              <wp:posOffset>102870</wp:posOffset>
            </wp:positionV>
            <wp:extent cx="5881370" cy="811530"/>
            <wp:effectExtent l="0" t="0" r="5080" b="762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81370" cy="811530"/>
                    </a:xfrm>
                    <a:prstGeom prst="rect">
                      <a:avLst/>
                    </a:prstGeom>
                    <a:noFill/>
                    <a:ln>
                      <a:noFill/>
                    </a:ln>
                  </pic:spPr>
                </pic:pic>
              </a:graphicData>
            </a:graphic>
          </wp:anchor>
        </w:drawing>
      </w:r>
    </w:p>
    <w:p w14:paraId="079495DA" w14:textId="0C698573" w:rsidR="007A0A1C" w:rsidRPr="00E2373F" w:rsidRDefault="007A0A1C" w:rsidP="00667BC9">
      <w:pPr>
        <w:pStyle w:val="Prrafodelista"/>
        <w:spacing w:after="0" w:line="240" w:lineRule="auto"/>
        <w:ind w:left="0"/>
        <w:jc w:val="center"/>
        <w:rPr>
          <w:rFonts w:ascii="Times New Roman" w:hAnsi="Times New Roman"/>
          <w:sz w:val="24"/>
          <w:szCs w:val="24"/>
        </w:rPr>
      </w:pPr>
    </w:p>
    <w:p w14:paraId="6A457B3F" w14:textId="34565A1C" w:rsidR="007A0A1C" w:rsidRDefault="007A0A1C" w:rsidP="00D4660A">
      <w:pPr>
        <w:pStyle w:val="Prrafodelista"/>
        <w:spacing w:after="0" w:line="240" w:lineRule="auto"/>
        <w:ind w:left="0"/>
        <w:rPr>
          <w:rFonts w:ascii="Times New Roman" w:hAnsi="Times New Roman"/>
          <w:sz w:val="24"/>
          <w:szCs w:val="24"/>
        </w:rPr>
      </w:pPr>
    </w:p>
    <w:p w14:paraId="6484186E" w14:textId="77777777" w:rsidR="009C138D" w:rsidRDefault="009C138D" w:rsidP="00633893">
      <w:pPr>
        <w:pStyle w:val="Prrafodelista"/>
        <w:spacing w:after="0" w:line="240" w:lineRule="auto"/>
        <w:ind w:left="0"/>
        <w:jc w:val="both"/>
        <w:rPr>
          <w:rFonts w:ascii="Times New Roman" w:hAnsi="Times New Roman"/>
          <w:sz w:val="24"/>
          <w:szCs w:val="24"/>
        </w:rPr>
      </w:pPr>
    </w:p>
    <w:p w14:paraId="2ABA8DCF" w14:textId="77777777" w:rsidR="009C138D" w:rsidRDefault="009C138D" w:rsidP="00633893">
      <w:pPr>
        <w:pStyle w:val="Prrafodelista"/>
        <w:spacing w:after="0" w:line="240" w:lineRule="auto"/>
        <w:ind w:left="0"/>
        <w:jc w:val="both"/>
        <w:rPr>
          <w:rFonts w:ascii="Times New Roman" w:hAnsi="Times New Roman"/>
          <w:sz w:val="24"/>
          <w:szCs w:val="24"/>
        </w:rPr>
      </w:pPr>
    </w:p>
    <w:p w14:paraId="63573DF7" w14:textId="77777777" w:rsidR="0040184D" w:rsidRDefault="0040184D" w:rsidP="00633893">
      <w:pPr>
        <w:pStyle w:val="Prrafodelista"/>
        <w:spacing w:after="0" w:line="240" w:lineRule="auto"/>
        <w:ind w:left="0"/>
        <w:jc w:val="both"/>
        <w:rPr>
          <w:rFonts w:ascii="Times New Roman" w:hAnsi="Times New Roman"/>
          <w:sz w:val="24"/>
          <w:szCs w:val="24"/>
        </w:rPr>
      </w:pPr>
    </w:p>
    <w:p w14:paraId="0A9ED0CF" w14:textId="48AA6D67" w:rsidR="00633893" w:rsidRPr="00633893" w:rsidRDefault="00633893" w:rsidP="00633893">
      <w:pPr>
        <w:pStyle w:val="Prrafodelista"/>
        <w:spacing w:after="0" w:line="240" w:lineRule="auto"/>
        <w:ind w:left="0"/>
        <w:jc w:val="both"/>
        <w:rPr>
          <w:rFonts w:ascii="Times New Roman" w:hAnsi="Times New Roman"/>
          <w:sz w:val="24"/>
          <w:szCs w:val="24"/>
        </w:rPr>
      </w:pPr>
      <w:r w:rsidRPr="00633893">
        <w:rPr>
          <w:rFonts w:ascii="Times New Roman" w:hAnsi="Times New Roman"/>
          <w:sz w:val="24"/>
          <w:szCs w:val="24"/>
        </w:rPr>
        <w:t xml:space="preserve">La provisión reconocida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633893">
        <w:rPr>
          <w:rFonts w:ascii="Times New Roman" w:hAnsi="Times New Roman"/>
          <w:sz w:val="24"/>
          <w:szCs w:val="24"/>
        </w:rPr>
        <w:t>corresponde a litigios y demandas interpuestas contra la entidad, se realiza cuando la probabilidad de pérdida del proceso es más alta que la probabilidad de no pérdida, y esta deberá constituirse por el valor que refleje la mejor estimación del desembolso que se requerirá para cancelar la obligación presente.</w:t>
      </w:r>
    </w:p>
    <w:p w14:paraId="09BD3EB7" w14:textId="77777777" w:rsidR="00633893" w:rsidRPr="00633893" w:rsidRDefault="00633893" w:rsidP="00633893">
      <w:pPr>
        <w:pStyle w:val="Prrafodelista"/>
        <w:spacing w:after="0" w:line="240" w:lineRule="auto"/>
        <w:ind w:left="0"/>
        <w:jc w:val="both"/>
        <w:rPr>
          <w:rFonts w:ascii="Times New Roman" w:hAnsi="Times New Roman"/>
          <w:sz w:val="24"/>
          <w:szCs w:val="24"/>
        </w:rPr>
      </w:pPr>
    </w:p>
    <w:p w14:paraId="6FCBB46B" w14:textId="5C3C3B79" w:rsidR="00D4660A" w:rsidRDefault="00633893" w:rsidP="00633893">
      <w:pPr>
        <w:pStyle w:val="Prrafodelista"/>
        <w:spacing w:after="0" w:line="240" w:lineRule="auto"/>
        <w:ind w:left="0"/>
        <w:jc w:val="both"/>
        <w:rPr>
          <w:rFonts w:ascii="Times New Roman" w:hAnsi="Times New Roman"/>
          <w:sz w:val="24"/>
          <w:szCs w:val="24"/>
        </w:rPr>
      </w:pPr>
      <w:r w:rsidRPr="00633893">
        <w:rPr>
          <w:rFonts w:ascii="Times New Roman" w:hAnsi="Times New Roman"/>
          <w:sz w:val="24"/>
          <w:szCs w:val="24"/>
        </w:rPr>
        <w:t xml:space="preserve">Para fines contables e independiente de la probabilidad de una contingencia, se constituyen provisiones para estimar y cuantificar el impacto de dichas eventualidades en los resultados del ejercicio contable, con base a los procesos reportados por la Oficina Asesora Jurídica del Icfes. Los valores presentados en el estado de situación financiera al </w:t>
      </w:r>
      <w:r w:rsidR="00432519">
        <w:rPr>
          <w:rFonts w:ascii="Times New Roman" w:hAnsi="Times New Roman"/>
          <w:sz w:val="24"/>
          <w:szCs w:val="24"/>
        </w:rPr>
        <w:t>31 de marzo de 2022 y 31 de marzo de 2021</w:t>
      </w:r>
      <w:r w:rsidRPr="00633893">
        <w:rPr>
          <w:rFonts w:ascii="Times New Roman" w:hAnsi="Times New Roman"/>
          <w:sz w:val="24"/>
          <w:szCs w:val="24"/>
        </w:rPr>
        <w:t>, pueden ser objeto de ajuste a partir de las incertidumbres relacionadas con la obligación, tales como el valor de la pretensión, la tasa esperada de condena, ajustes por tasa de descuento y la fecha estimada de pago, entre otras.</w:t>
      </w:r>
    </w:p>
    <w:p w14:paraId="73D3DE87" w14:textId="075AED74" w:rsidR="0010264E" w:rsidRDefault="0010264E" w:rsidP="00633893">
      <w:pPr>
        <w:pStyle w:val="Prrafodelista"/>
        <w:spacing w:after="0" w:line="240" w:lineRule="auto"/>
        <w:ind w:left="0"/>
        <w:jc w:val="both"/>
        <w:rPr>
          <w:rFonts w:ascii="Times New Roman" w:hAnsi="Times New Roman"/>
          <w:sz w:val="24"/>
          <w:szCs w:val="24"/>
        </w:rPr>
      </w:pPr>
    </w:p>
    <w:p w14:paraId="4654373C" w14:textId="27D7C633" w:rsidR="00B566FE" w:rsidRDefault="00B566FE" w:rsidP="00633893">
      <w:pPr>
        <w:pStyle w:val="Prrafodelista"/>
        <w:spacing w:after="0" w:line="240" w:lineRule="auto"/>
        <w:ind w:left="0"/>
        <w:jc w:val="both"/>
        <w:rPr>
          <w:rFonts w:ascii="Times New Roman" w:hAnsi="Times New Roman"/>
          <w:sz w:val="24"/>
          <w:szCs w:val="24"/>
        </w:rPr>
      </w:pPr>
    </w:p>
    <w:p w14:paraId="1BDB5E5B" w14:textId="1EDB3385" w:rsidR="00B566FE" w:rsidRDefault="00B566FE" w:rsidP="00633893">
      <w:pPr>
        <w:pStyle w:val="Prrafodelista"/>
        <w:spacing w:after="0" w:line="240" w:lineRule="auto"/>
        <w:ind w:left="0"/>
        <w:jc w:val="both"/>
        <w:rPr>
          <w:rFonts w:ascii="Times New Roman" w:hAnsi="Times New Roman"/>
          <w:sz w:val="24"/>
          <w:szCs w:val="24"/>
        </w:rPr>
      </w:pPr>
    </w:p>
    <w:p w14:paraId="5A544770" w14:textId="41EDC2A6" w:rsidR="00B566FE" w:rsidRDefault="00B566FE" w:rsidP="00633893">
      <w:pPr>
        <w:pStyle w:val="Prrafodelista"/>
        <w:spacing w:after="0" w:line="240" w:lineRule="auto"/>
        <w:ind w:left="0"/>
        <w:jc w:val="both"/>
        <w:rPr>
          <w:rFonts w:ascii="Times New Roman" w:hAnsi="Times New Roman"/>
          <w:sz w:val="24"/>
          <w:szCs w:val="24"/>
        </w:rPr>
      </w:pPr>
    </w:p>
    <w:p w14:paraId="59511F2A" w14:textId="20876F8D" w:rsidR="00B566FE" w:rsidRDefault="00B566FE" w:rsidP="00633893">
      <w:pPr>
        <w:pStyle w:val="Prrafodelista"/>
        <w:spacing w:after="0" w:line="240" w:lineRule="auto"/>
        <w:ind w:left="0"/>
        <w:jc w:val="both"/>
        <w:rPr>
          <w:rFonts w:ascii="Times New Roman" w:hAnsi="Times New Roman"/>
          <w:sz w:val="24"/>
          <w:szCs w:val="24"/>
        </w:rPr>
      </w:pPr>
    </w:p>
    <w:p w14:paraId="06CF3497" w14:textId="230BBCF9" w:rsidR="00B566FE" w:rsidRDefault="00B566FE" w:rsidP="00633893">
      <w:pPr>
        <w:pStyle w:val="Prrafodelista"/>
        <w:spacing w:after="0" w:line="240" w:lineRule="auto"/>
        <w:ind w:left="0"/>
        <w:jc w:val="both"/>
        <w:rPr>
          <w:rFonts w:ascii="Times New Roman" w:hAnsi="Times New Roman"/>
          <w:sz w:val="24"/>
          <w:szCs w:val="24"/>
        </w:rPr>
      </w:pPr>
    </w:p>
    <w:p w14:paraId="145D704E" w14:textId="77777777" w:rsidR="00B566FE" w:rsidRDefault="00B566FE" w:rsidP="00633893">
      <w:pPr>
        <w:pStyle w:val="Prrafodelista"/>
        <w:spacing w:after="0" w:line="240" w:lineRule="auto"/>
        <w:ind w:left="0"/>
        <w:jc w:val="both"/>
        <w:rPr>
          <w:rFonts w:ascii="Times New Roman" w:hAnsi="Times New Roman"/>
          <w:sz w:val="24"/>
          <w:szCs w:val="24"/>
        </w:rPr>
      </w:pPr>
    </w:p>
    <w:p w14:paraId="3D749DFF" w14:textId="71B29474" w:rsidR="007A0A1C" w:rsidRPr="00B13C8A" w:rsidRDefault="0076667D" w:rsidP="00425DA9">
      <w:pPr>
        <w:pStyle w:val="Ttulo2"/>
        <w:numPr>
          <w:ilvl w:val="1"/>
          <w:numId w:val="15"/>
        </w:numPr>
        <w:ind w:left="567" w:hanging="567"/>
        <w:rPr>
          <w:szCs w:val="22"/>
        </w:rPr>
      </w:pPr>
      <w:bookmarkStart w:id="88" w:name="_Toc99455351"/>
      <w:r w:rsidRPr="00B13C8A">
        <w:rPr>
          <w:szCs w:val="22"/>
        </w:rPr>
        <w:lastRenderedPageBreak/>
        <w:t>Litigios y demandas</w:t>
      </w:r>
      <w:bookmarkEnd w:id="88"/>
    </w:p>
    <w:p w14:paraId="3DDE1B59" w14:textId="6AF60B4B" w:rsidR="007A0A1C" w:rsidRDefault="00B27577" w:rsidP="00667BC9">
      <w:pPr>
        <w:spacing w:after="0" w:line="240" w:lineRule="auto"/>
        <w:ind w:left="720"/>
        <w:jc w:val="both"/>
        <w:rPr>
          <w:rFonts w:ascii="Times New Roman" w:hAnsi="Times New Roman"/>
          <w:sz w:val="24"/>
          <w:szCs w:val="24"/>
        </w:rPr>
      </w:pPr>
      <w:r w:rsidRPr="00B27577">
        <w:rPr>
          <w:noProof/>
        </w:rPr>
        <w:drawing>
          <wp:anchor distT="0" distB="0" distL="114300" distR="114300" simplePos="0" relativeHeight="252737536" behindDoc="1" locked="0" layoutInCell="1" allowOverlap="1" wp14:anchorId="4B5891CD" wp14:editId="3E4B7275">
            <wp:simplePos x="0" y="0"/>
            <wp:positionH relativeFrom="column">
              <wp:posOffset>-12700</wp:posOffset>
            </wp:positionH>
            <wp:positionV relativeFrom="paragraph">
              <wp:posOffset>110490</wp:posOffset>
            </wp:positionV>
            <wp:extent cx="5881370" cy="2559685"/>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81370" cy="2559685"/>
                    </a:xfrm>
                    <a:prstGeom prst="rect">
                      <a:avLst/>
                    </a:prstGeom>
                    <a:noFill/>
                    <a:ln>
                      <a:noFill/>
                    </a:ln>
                  </pic:spPr>
                </pic:pic>
              </a:graphicData>
            </a:graphic>
          </wp:anchor>
        </w:drawing>
      </w:r>
    </w:p>
    <w:p w14:paraId="658A9695" w14:textId="34E395E8" w:rsidR="000F5B2B" w:rsidRDefault="000F5B2B" w:rsidP="00EA1850">
      <w:pPr>
        <w:spacing w:after="0" w:line="240" w:lineRule="auto"/>
        <w:rPr>
          <w:rFonts w:ascii="Times New Roman" w:hAnsi="Times New Roman"/>
          <w:sz w:val="24"/>
          <w:szCs w:val="24"/>
        </w:rPr>
      </w:pPr>
    </w:p>
    <w:p w14:paraId="6C75A94E" w14:textId="45A024C6" w:rsidR="000F5B2B" w:rsidRDefault="000F5B2B" w:rsidP="00667BC9">
      <w:pPr>
        <w:spacing w:after="0" w:line="240" w:lineRule="auto"/>
        <w:ind w:left="720"/>
        <w:jc w:val="both"/>
        <w:rPr>
          <w:rFonts w:ascii="Times New Roman" w:hAnsi="Times New Roman"/>
          <w:sz w:val="24"/>
          <w:szCs w:val="24"/>
        </w:rPr>
      </w:pPr>
    </w:p>
    <w:p w14:paraId="3AE47828" w14:textId="62AA14E5" w:rsidR="00DE36EF" w:rsidRDefault="00DE36EF" w:rsidP="009C138D">
      <w:pPr>
        <w:spacing w:after="0" w:line="240" w:lineRule="auto"/>
        <w:jc w:val="both"/>
        <w:rPr>
          <w:rFonts w:ascii="Times New Roman" w:hAnsi="Times New Roman"/>
          <w:sz w:val="24"/>
          <w:szCs w:val="24"/>
        </w:rPr>
      </w:pPr>
    </w:p>
    <w:p w14:paraId="767492BA" w14:textId="77777777" w:rsidR="00880F40" w:rsidRDefault="00880F40" w:rsidP="009C138D">
      <w:pPr>
        <w:spacing w:after="0" w:line="240" w:lineRule="auto"/>
        <w:jc w:val="both"/>
        <w:rPr>
          <w:rFonts w:ascii="Times New Roman" w:hAnsi="Times New Roman"/>
          <w:sz w:val="24"/>
          <w:szCs w:val="24"/>
        </w:rPr>
      </w:pPr>
    </w:p>
    <w:p w14:paraId="1E6EF61C" w14:textId="77777777" w:rsidR="000558FC" w:rsidRDefault="000558FC" w:rsidP="009C138D">
      <w:pPr>
        <w:spacing w:after="0" w:line="240" w:lineRule="auto"/>
        <w:jc w:val="both"/>
        <w:rPr>
          <w:rFonts w:ascii="Times New Roman" w:hAnsi="Times New Roman"/>
          <w:sz w:val="24"/>
          <w:szCs w:val="24"/>
        </w:rPr>
      </w:pPr>
    </w:p>
    <w:p w14:paraId="22015375" w14:textId="77777777" w:rsidR="000D5B05" w:rsidRDefault="000D5B05" w:rsidP="009C138D">
      <w:pPr>
        <w:spacing w:after="0" w:line="240" w:lineRule="auto"/>
        <w:jc w:val="both"/>
        <w:rPr>
          <w:rFonts w:ascii="Times New Roman" w:hAnsi="Times New Roman"/>
          <w:sz w:val="24"/>
          <w:szCs w:val="24"/>
        </w:rPr>
      </w:pPr>
    </w:p>
    <w:p w14:paraId="0DE1D61B" w14:textId="77777777" w:rsidR="000D5B05" w:rsidRDefault="000D5B05" w:rsidP="009C138D">
      <w:pPr>
        <w:spacing w:after="0" w:line="240" w:lineRule="auto"/>
        <w:jc w:val="both"/>
        <w:rPr>
          <w:rFonts w:ascii="Times New Roman" w:hAnsi="Times New Roman"/>
          <w:sz w:val="24"/>
          <w:szCs w:val="24"/>
        </w:rPr>
      </w:pPr>
    </w:p>
    <w:p w14:paraId="3A34AFE7" w14:textId="77777777" w:rsidR="000D5B05" w:rsidRDefault="000D5B05" w:rsidP="009C138D">
      <w:pPr>
        <w:spacing w:after="0" w:line="240" w:lineRule="auto"/>
        <w:jc w:val="both"/>
        <w:rPr>
          <w:rFonts w:ascii="Times New Roman" w:hAnsi="Times New Roman"/>
          <w:sz w:val="24"/>
          <w:szCs w:val="24"/>
        </w:rPr>
      </w:pPr>
    </w:p>
    <w:p w14:paraId="327CD0D0" w14:textId="77777777" w:rsidR="000D5B05" w:rsidRDefault="000D5B05" w:rsidP="009C138D">
      <w:pPr>
        <w:spacing w:after="0" w:line="240" w:lineRule="auto"/>
        <w:jc w:val="both"/>
        <w:rPr>
          <w:rFonts w:ascii="Times New Roman" w:hAnsi="Times New Roman"/>
          <w:sz w:val="24"/>
          <w:szCs w:val="24"/>
        </w:rPr>
      </w:pPr>
    </w:p>
    <w:p w14:paraId="782BB2D8" w14:textId="77777777" w:rsidR="000D5B05" w:rsidRDefault="000D5B05" w:rsidP="009C138D">
      <w:pPr>
        <w:spacing w:after="0" w:line="240" w:lineRule="auto"/>
        <w:jc w:val="both"/>
        <w:rPr>
          <w:rFonts w:ascii="Times New Roman" w:hAnsi="Times New Roman"/>
          <w:sz w:val="24"/>
          <w:szCs w:val="24"/>
        </w:rPr>
      </w:pPr>
    </w:p>
    <w:p w14:paraId="1E5D621E" w14:textId="77777777" w:rsidR="000D5B05" w:rsidRDefault="000D5B05" w:rsidP="009C138D">
      <w:pPr>
        <w:spacing w:after="0" w:line="240" w:lineRule="auto"/>
        <w:jc w:val="both"/>
        <w:rPr>
          <w:rFonts w:ascii="Times New Roman" w:hAnsi="Times New Roman"/>
          <w:sz w:val="24"/>
          <w:szCs w:val="24"/>
        </w:rPr>
      </w:pPr>
    </w:p>
    <w:p w14:paraId="66411BB9" w14:textId="77777777" w:rsidR="000D5B05" w:rsidRDefault="000D5B05" w:rsidP="009C138D">
      <w:pPr>
        <w:spacing w:after="0" w:line="240" w:lineRule="auto"/>
        <w:jc w:val="both"/>
        <w:rPr>
          <w:rFonts w:ascii="Times New Roman" w:hAnsi="Times New Roman"/>
          <w:sz w:val="24"/>
          <w:szCs w:val="24"/>
        </w:rPr>
      </w:pPr>
    </w:p>
    <w:p w14:paraId="01AA89FF" w14:textId="77777777" w:rsidR="000D5B05" w:rsidRDefault="000D5B05" w:rsidP="009C138D">
      <w:pPr>
        <w:spacing w:after="0" w:line="240" w:lineRule="auto"/>
        <w:jc w:val="both"/>
        <w:rPr>
          <w:rFonts w:ascii="Times New Roman" w:hAnsi="Times New Roman"/>
          <w:sz w:val="24"/>
          <w:szCs w:val="24"/>
        </w:rPr>
      </w:pPr>
    </w:p>
    <w:p w14:paraId="76E6CDC3" w14:textId="77777777" w:rsidR="000D5B05" w:rsidRDefault="000D5B05" w:rsidP="009C138D">
      <w:pPr>
        <w:spacing w:after="0" w:line="240" w:lineRule="auto"/>
        <w:jc w:val="both"/>
        <w:rPr>
          <w:rFonts w:ascii="Times New Roman" w:hAnsi="Times New Roman"/>
          <w:sz w:val="24"/>
          <w:szCs w:val="24"/>
        </w:rPr>
      </w:pPr>
    </w:p>
    <w:p w14:paraId="6D9C51A5" w14:textId="77777777" w:rsidR="000D5B05" w:rsidRDefault="000D5B05" w:rsidP="009C138D">
      <w:pPr>
        <w:spacing w:after="0" w:line="240" w:lineRule="auto"/>
        <w:jc w:val="both"/>
        <w:rPr>
          <w:rFonts w:ascii="Times New Roman" w:hAnsi="Times New Roman"/>
          <w:sz w:val="24"/>
          <w:szCs w:val="24"/>
        </w:rPr>
      </w:pPr>
    </w:p>
    <w:p w14:paraId="1CC7F3B5" w14:textId="5D52A2C2" w:rsidR="009C138D" w:rsidRPr="009C138D" w:rsidRDefault="009C138D" w:rsidP="009C138D">
      <w:pPr>
        <w:spacing w:after="0" w:line="240" w:lineRule="auto"/>
        <w:jc w:val="both"/>
        <w:rPr>
          <w:rFonts w:ascii="Times New Roman" w:hAnsi="Times New Roman"/>
          <w:sz w:val="24"/>
          <w:szCs w:val="24"/>
        </w:rPr>
      </w:pPr>
      <w:r w:rsidRPr="009C138D">
        <w:rPr>
          <w:rFonts w:ascii="Times New Roman" w:hAnsi="Times New Roman"/>
          <w:sz w:val="24"/>
          <w:szCs w:val="24"/>
        </w:rPr>
        <w:t xml:space="preserve">En lo referente a provisión y pasivos contingentes – litigios y demandas, el Icfes aplicará la Resolución 353 del 01 de diciembre de 2016, emanada de la Agencia Nacional de Defensa Jurídica del Estado, o, en su momento, la normatividad que la </w:t>
      </w:r>
      <w:r w:rsidR="00BE42F1" w:rsidRPr="009C138D">
        <w:rPr>
          <w:rFonts w:ascii="Times New Roman" w:hAnsi="Times New Roman"/>
          <w:sz w:val="24"/>
          <w:szCs w:val="24"/>
        </w:rPr>
        <w:t>adicione</w:t>
      </w:r>
      <w:r w:rsidRPr="009C138D">
        <w:rPr>
          <w:rFonts w:ascii="Times New Roman" w:hAnsi="Times New Roman"/>
          <w:sz w:val="24"/>
          <w:szCs w:val="24"/>
        </w:rPr>
        <w:t xml:space="preserve"> modifique o sustituya, la cual brinda los lineamientos para el cálculo de la provisión contable, a partir de la metodología de reconocido valor técnico. Para el reconocimiento contable se aplica la Resolución 310 del </w:t>
      </w:r>
      <w:r w:rsidR="00303E48">
        <w:rPr>
          <w:rFonts w:ascii="Times New Roman" w:hAnsi="Times New Roman"/>
          <w:sz w:val="24"/>
          <w:szCs w:val="24"/>
        </w:rPr>
        <w:t>31 de octubre</w:t>
      </w:r>
      <w:r w:rsidRPr="009C138D">
        <w:rPr>
          <w:rFonts w:ascii="Times New Roman" w:hAnsi="Times New Roman"/>
          <w:sz w:val="24"/>
          <w:szCs w:val="24"/>
        </w:rPr>
        <w:t xml:space="preserve"> de 2017 expedida por la Contaduría General de la Nación</w:t>
      </w:r>
      <w:r w:rsidR="00FA1491">
        <w:rPr>
          <w:rFonts w:ascii="Times New Roman" w:hAnsi="Times New Roman"/>
          <w:sz w:val="24"/>
          <w:szCs w:val="24"/>
        </w:rPr>
        <w:t xml:space="preserve"> y </w:t>
      </w:r>
      <w:r w:rsidR="00ED1436" w:rsidRPr="00ED1436">
        <w:rPr>
          <w:rFonts w:ascii="Times New Roman" w:hAnsi="Times New Roman"/>
          <w:sz w:val="24"/>
          <w:szCs w:val="24"/>
        </w:rPr>
        <w:t xml:space="preserve">la </w:t>
      </w:r>
      <w:r w:rsidR="00ED1436">
        <w:rPr>
          <w:rFonts w:ascii="Times New Roman" w:hAnsi="Times New Roman"/>
          <w:sz w:val="24"/>
          <w:szCs w:val="24"/>
        </w:rPr>
        <w:t>C</w:t>
      </w:r>
      <w:r w:rsidR="00ED1436" w:rsidRPr="00ED1436">
        <w:rPr>
          <w:rFonts w:ascii="Times New Roman" w:hAnsi="Times New Roman"/>
          <w:sz w:val="24"/>
          <w:szCs w:val="24"/>
        </w:rPr>
        <w:t xml:space="preserve">ircular Externa No. 23 del 11 de diciembre de 2015 de la </w:t>
      </w:r>
      <w:r w:rsidR="00754C38" w:rsidRPr="00754C38">
        <w:rPr>
          <w:rFonts w:ascii="Times New Roman" w:hAnsi="Times New Roman"/>
          <w:sz w:val="24"/>
          <w:szCs w:val="24"/>
        </w:rPr>
        <w:t>Agencia Nacional de Defensa Jurídica del Estado</w:t>
      </w:r>
      <w:r w:rsidRPr="009C138D">
        <w:rPr>
          <w:rFonts w:ascii="Times New Roman" w:hAnsi="Times New Roman"/>
          <w:sz w:val="24"/>
          <w:szCs w:val="24"/>
        </w:rPr>
        <w:t>.</w:t>
      </w:r>
    </w:p>
    <w:p w14:paraId="3E5E6069" w14:textId="77777777" w:rsidR="0019372C" w:rsidRDefault="0019372C" w:rsidP="009C138D">
      <w:pPr>
        <w:spacing w:after="0" w:line="240" w:lineRule="auto"/>
        <w:jc w:val="both"/>
        <w:rPr>
          <w:rFonts w:ascii="Times New Roman" w:hAnsi="Times New Roman"/>
          <w:sz w:val="24"/>
          <w:szCs w:val="24"/>
        </w:rPr>
      </w:pPr>
    </w:p>
    <w:p w14:paraId="684F4391" w14:textId="5A104CC7" w:rsidR="009C138D" w:rsidRPr="009C138D" w:rsidRDefault="009C138D" w:rsidP="009C138D">
      <w:pPr>
        <w:spacing w:after="0" w:line="240" w:lineRule="auto"/>
        <w:jc w:val="both"/>
        <w:rPr>
          <w:rFonts w:ascii="Times New Roman" w:hAnsi="Times New Roman"/>
          <w:sz w:val="24"/>
          <w:szCs w:val="24"/>
        </w:rPr>
      </w:pPr>
      <w:r w:rsidRPr="009C138D">
        <w:rPr>
          <w:rFonts w:ascii="Times New Roman" w:hAnsi="Times New Roman"/>
          <w:sz w:val="24"/>
          <w:szCs w:val="24"/>
        </w:rPr>
        <w:t>Lo anterior, teniendo en cuenta que en el Decreto 1069 de 2015, numeral 5 del Artículo 2.2.3.4.1.10, se describe como una de las funciones del apoderado de la entidad frente al Sistema Único de Gestión e Información de la Actividad Litigiosa del Estado – eKOGUI, “el incorporar el valor de la provisión contable de los procesos a su cargo”.</w:t>
      </w:r>
    </w:p>
    <w:p w14:paraId="43DFFC4D" w14:textId="7B4EDAE2" w:rsidR="009C138D" w:rsidRPr="009C138D" w:rsidRDefault="009C138D" w:rsidP="009C138D">
      <w:pPr>
        <w:spacing w:after="0" w:line="240" w:lineRule="auto"/>
        <w:jc w:val="both"/>
        <w:rPr>
          <w:rFonts w:ascii="Times New Roman" w:hAnsi="Times New Roman"/>
          <w:sz w:val="24"/>
          <w:szCs w:val="24"/>
        </w:rPr>
      </w:pPr>
    </w:p>
    <w:p w14:paraId="6784528F" w14:textId="3A08898C" w:rsidR="000F5B2B" w:rsidRDefault="009C138D" w:rsidP="009C138D">
      <w:pPr>
        <w:spacing w:after="0" w:line="240" w:lineRule="auto"/>
        <w:jc w:val="both"/>
        <w:rPr>
          <w:rFonts w:ascii="Times New Roman" w:hAnsi="Times New Roman"/>
          <w:sz w:val="24"/>
          <w:szCs w:val="24"/>
        </w:rPr>
      </w:pPr>
      <w:r w:rsidRPr="009C138D">
        <w:rPr>
          <w:rFonts w:ascii="Times New Roman" w:hAnsi="Times New Roman"/>
          <w:sz w:val="24"/>
          <w:szCs w:val="24"/>
        </w:rPr>
        <w:t xml:space="preserve">Para el mes de </w:t>
      </w:r>
      <w:r w:rsidR="00880F40">
        <w:rPr>
          <w:rFonts w:ascii="Times New Roman" w:hAnsi="Times New Roman"/>
          <w:sz w:val="24"/>
          <w:szCs w:val="24"/>
        </w:rPr>
        <w:t>abril</w:t>
      </w:r>
      <w:r w:rsidR="00BB623D">
        <w:rPr>
          <w:rFonts w:ascii="Times New Roman" w:hAnsi="Times New Roman"/>
          <w:sz w:val="24"/>
          <w:szCs w:val="24"/>
        </w:rPr>
        <w:t xml:space="preserve"> </w:t>
      </w:r>
      <w:r w:rsidR="000558FC">
        <w:rPr>
          <w:rFonts w:ascii="Times New Roman" w:hAnsi="Times New Roman"/>
          <w:sz w:val="24"/>
          <w:szCs w:val="24"/>
        </w:rPr>
        <w:t xml:space="preserve">y julio </w:t>
      </w:r>
      <w:r w:rsidRPr="009C138D">
        <w:rPr>
          <w:rFonts w:ascii="Times New Roman" w:hAnsi="Times New Roman"/>
          <w:sz w:val="24"/>
          <w:szCs w:val="24"/>
        </w:rPr>
        <w:t>del 202</w:t>
      </w:r>
      <w:r w:rsidR="00BB623D">
        <w:rPr>
          <w:rFonts w:ascii="Times New Roman" w:hAnsi="Times New Roman"/>
          <w:sz w:val="24"/>
          <w:szCs w:val="24"/>
        </w:rPr>
        <w:t>1</w:t>
      </w:r>
      <w:r w:rsidRPr="009C138D">
        <w:rPr>
          <w:rFonts w:ascii="Times New Roman" w:hAnsi="Times New Roman"/>
          <w:sz w:val="24"/>
          <w:szCs w:val="24"/>
        </w:rPr>
        <w:t xml:space="preserve"> se presentaron adiciones </w:t>
      </w:r>
      <w:r w:rsidR="004103F2">
        <w:rPr>
          <w:rFonts w:ascii="Times New Roman" w:hAnsi="Times New Roman"/>
          <w:sz w:val="24"/>
          <w:szCs w:val="24"/>
        </w:rPr>
        <w:t>al</w:t>
      </w:r>
      <w:r w:rsidRPr="009C138D">
        <w:rPr>
          <w:rFonts w:ascii="Times New Roman" w:hAnsi="Times New Roman"/>
          <w:sz w:val="24"/>
          <w:szCs w:val="24"/>
        </w:rPr>
        <w:t xml:space="preserve"> rubro de provisiones</w:t>
      </w:r>
      <w:r w:rsidR="004103F2">
        <w:rPr>
          <w:rFonts w:ascii="Times New Roman" w:hAnsi="Times New Roman"/>
          <w:sz w:val="24"/>
          <w:szCs w:val="24"/>
        </w:rPr>
        <w:t>, originado por la</w:t>
      </w:r>
      <w:r w:rsidR="004103F2" w:rsidRPr="004103F2">
        <w:rPr>
          <w:rFonts w:ascii="Times New Roman" w:hAnsi="Times New Roman"/>
          <w:sz w:val="24"/>
          <w:szCs w:val="24"/>
        </w:rPr>
        <w:t xml:space="preserve"> cantidad de casos en contra del instituto debido a las demandas que los docentes están interponiendo al tener controversias por la aplicación de la evaluación de la Evaluación de Docente de Carácter Diagnostico Formativo - ECD, cohorte III.</w:t>
      </w:r>
    </w:p>
    <w:p w14:paraId="4772F294" w14:textId="77777777" w:rsidR="002B6402" w:rsidRDefault="002B6402" w:rsidP="009C138D">
      <w:pPr>
        <w:spacing w:after="0" w:line="240" w:lineRule="auto"/>
        <w:jc w:val="both"/>
        <w:rPr>
          <w:rFonts w:ascii="Times New Roman" w:hAnsi="Times New Roman"/>
          <w:sz w:val="24"/>
          <w:szCs w:val="24"/>
        </w:rPr>
      </w:pPr>
    </w:p>
    <w:p w14:paraId="48EB4606" w14:textId="77777777" w:rsidR="002B6402" w:rsidRDefault="002B6402" w:rsidP="002B6402">
      <w:pPr>
        <w:spacing w:after="0" w:line="240" w:lineRule="auto"/>
        <w:jc w:val="both"/>
        <w:rPr>
          <w:rFonts w:ascii="Times New Roman" w:hAnsi="Times New Roman"/>
          <w:sz w:val="24"/>
          <w:szCs w:val="24"/>
        </w:rPr>
      </w:pPr>
      <w:r>
        <w:rPr>
          <w:rFonts w:ascii="Times New Roman" w:hAnsi="Times New Roman"/>
          <w:sz w:val="24"/>
          <w:szCs w:val="24"/>
        </w:rPr>
        <w:t xml:space="preserve">Adicionalmente durante </w:t>
      </w:r>
      <w:r w:rsidRPr="00827EF9">
        <w:rPr>
          <w:rFonts w:ascii="Times New Roman" w:hAnsi="Times New Roman"/>
          <w:sz w:val="24"/>
          <w:szCs w:val="24"/>
        </w:rPr>
        <w:t xml:space="preserve">el año 2020 debido a las medidas de emergencia sanitaria decretadas por el Gobierno nacional, se procedió en el segundo trimestre del año a suspender los términos de los procesos judiciales, </w:t>
      </w:r>
      <w:r>
        <w:rPr>
          <w:rFonts w:ascii="Times New Roman" w:hAnsi="Times New Roman"/>
          <w:sz w:val="24"/>
          <w:szCs w:val="24"/>
        </w:rPr>
        <w:t>originado</w:t>
      </w:r>
      <w:r w:rsidRPr="00827EF9">
        <w:rPr>
          <w:rFonts w:ascii="Times New Roman" w:hAnsi="Times New Roman"/>
          <w:sz w:val="24"/>
          <w:szCs w:val="24"/>
        </w:rPr>
        <w:t xml:space="preserve"> como consecuencia </w:t>
      </w:r>
      <w:r>
        <w:rPr>
          <w:rFonts w:ascii="Times New Roman" w:hAnsi="Times New Roman"/>
          <w:sz w:val="24"/>
          <w:szCs w:val="24"/>
        </w:rPr>
        <w:t>u</w:t>
      </w:r>
      <w:r w:rsidRPr="00827EF9">
        <w:rPr>
          <w:rFonts w:ascii="Times New Roman" w:hAnsi="Times New Roman"/>
          <w:sz w:val="24"/>
          <w:szCs w:val="24"/>
        </w:rPr>
        <w:t>n desarrollo más lento de los procesos judiciales, por lo que se evidencia una disminución de los procesos culminados a favor y en contra del instituto.</w:t>
      </w:r>
    </w:p>
    <w:p w14:paraId="41CD7CD1" w14:textId="77777777" w:rsidR="00B27577" w:rsidRDefault="00B27577" w:rsidP="009C138D">
      <w:pPr>
        <w:spacing w:after="0" w:line="240" w:lineRule="auto"/>
        <w:jc w:val="both"/>
        <w:rPr>
          <w:rFonts w:ascii="Times New Roman" w:hAnsi="Times New Roman"/>
          <w:sz w:val="24"/>
          <w:szCs w:val="24"/>
        </w:rPr>
      </w:pPr>
    </w:p>
    <w:p w14:paraId="082C59D0" w14:textId="51C30617" w:rsidR="00FC3069" w:rsidRDefault="000C6F1E" w:rsidP="009C138D">
      <w:pPr>
        <w:spacing w:after="0" w:line="240" w:lineRule="auto"/>
        <w:jc w:val="both"/>
        <w:rPr>
          <w:rFonts w:ascii="Times New Roman" w:hAnsi="Times New Roman"/>
          <w:sz w:val="24"/>
          <w:szCs w:val="24"/>
        </w:rPr>
      </w:pPr>
      <w:r w:rsidRPr="000C6F1E">
        <w:rPr>
          <w:rFonts w:ascii="Times New Roman" w:hAnsi="Times New Roman"/>
          <w:sz w:val="24"/>
          <w:szCs w:val="24"/>
        </w:rPr>
        <w:t xml:space="preserve">Al </w:t>
      </w:r>
      <w:r w:rsidR="00113DFD">
        <w:rPr>
          <w:rFonts w:ascii="Times New Roman" w:hAnsi="Times New Roman"/>
          <w:sz w:val="24"/>
          <w:szCs w:val="24"/>
        </w:rPr>
        <w:t xml:space="preserve">31 de diciembre, </w:t>
      </w:r>
      <w:r w:rsidRPr="000C6F1E">
        <w:rPr>
          <w:rFonts w:ascii="Times New Roman" w:hAnsi="Times New Roman"/>
          <w:sz w:val="24"/>
          <w:szCs w:val="24"/>
        </w:rPr>
        <w:t xml:space="preserve">se encuentran activos un total de 253 procesos judiciales </w:t>
      </w:r>
      <w:r w:rsidR="00B423C1">
        <w:rPr>
          <w:rFonts w:ascii="Times New Roman" w:hAnsi="Times New Roman"/>
          <w:sz w:val="24"/>
          <w:szCs w:val="24"/>
        </w:rPr>
        <w:t>de</w:t>
      </w:r>
      <w:r w:rsidRPr="000C6F1E">
        <w:rPr>
          <w:rFonts w:ascii="Times New Roman" w:hAnsi="Times New Roman"/>
          <w:sz w:val="24"/>
          <w:szCs w:val="24"/>
        </w:rPr>
        <w:t xml:space="preserve"> los cuales el Instituto ostenta la calidad de demandado en 233 y 20 en calidad de demandante</w:t>
      </w:r>
      <w:r w:rsidR="00B423C1">
        <w:rPr>
          <w:rFonts w:ascii="Times New Roman" w:hAnsi="Times New Roman"/>
          <w:sz w:val="24"/>
          <w:szCs w:val="24"/>
        </w:rPr>
        <w:t xml:space="preserve">; de </w:t>
      </w:r>
      <w:r w:rsidR="006E32E9">
        <w:rPr>
          <w:rFonts w:ascii="Times New Roman" w:hAnsi="Times New Roman"/>
          <w:sz w:val="24"/>
          <w:szCs w:val="24"/>
        </w:rPr>
        <w:t>estos</w:t>
      </w:r>
      <w:r w:rsidR="00B423C1">
        <w:rPr>
          <w:rFonts w:ascii="Times New Roman" w:hAnsi="Times New Roman"/>
          <w:sz w:val="24"/>
          <w:szCs w:val="24"/>
        </w:rPr>
        <w:t xml:space="preserve"> </w:t>
      </w:r>
      <w:r w:rsidRPr="000C6F1E">
        <w:rPr>
          <w:rFonts w:ascii="Times New Roman" w:hAnsi="Times New Roman"/>
          <w:sz w:val="24"/>
          <w:szCs w:val="24"/>
        </w:rPr>
        <w:t xml:space="preserve">procesos activos </w:t>
      </w:r>
      <w:r w:rsidR="006E32E9">
        <w:rPr>
          <w:rFonts w:ascii="Times New Roman" w:hAnsi="Times New Roman"/>
          <w:sz w:val="24"/>
          <w:szCs w:val="24"/>
        </w:rPr>
        <w:t xml:space="preserve">245 </w:t>
      </w:r>
      <w:r w:rsidRPr="000C6F1E">
        <w:rPr>
          <w:rFonts w:ascii="Times New Roman" w:hAnsi="Times New Roman"/>
          <w:sz w:val="24"/>
          <w:szCs w:val="24"/>
        </w:rPr>
        <w:t>se encuentran en primera instancia y 8 en segunda</w:t>
      </w:r>
      <w:r w:rsidR="0082047D">
        <w:rPr>
          <w:rFonts w:ascii="Times New Roman" w:hAnsi="Times New Roman"/>
          <w:sz w:val="24"/>
          <w:szCs w:val="24"/>
        </w:rPr>
        <w:t>.</w:t>
      </w:r>
      <w:r w:rsidRPr="000C6F1E">
        <w:rPr>
          <w:rFonts w:ascii="Times New Roman" w:hAnsi="Times New Roman"/>
          <w:sz w:val="24"/>
          <w:szCs w:val="24"/>
        </w:rPr>
        <w:t xml:space="preserve"> En lo referente al cálculo de probabilidad de condena, se evaluaron</w:t>
      </w:r>
      <w:r w:rsidR="00112A13">
        <w:rPr>
          <w:rFonts w:ascii="Times New Roman" w:hAnsi="Times New Roman"/>
          <w:sz w:val="24"/>
          <w:szCs w:val="24"/>
        </w:rPr>
        <w:t xml:space="preserve"> </w:t>
      </w:r>
      <w:r w:rsidR="00DE318C">
        <w:rPr>
          <w:rFonts w:ascii="Times New Roman" w:hAnsi="Times New Roman"/>
          <w:sz w:val="24"/>
          <w:szCs w:val="24"/>
        </w:rPr>
        <w:t>en probabilidad alta</w:t>
      </w:r>
      <w:r w:rsidR="00DE318C" w:rsidRPr="000C6F1E">
        <w:rPr>
          <w:rFonts w:ascii="Times New Roman" w:hAnsi="Times New Roman"/>
          <w:sz w:val="24"/>
          <w:szCs w:val="24"/>
        </w:rPr>
        <w:t xml:space="preserve"> </w:t>
      </w:r>
      <w:r w:rsidRPr="000C6F1E">
        <w:rPr>
          <w:rFonts w:ascii="Times New Roman" w:hAnsi="Times New Roman"/>
          <w:sz w:val="24"/>
          <w:szCs w:val="24"/>
        </w:rPr>
        <w:t>152 procesos, media para 76 y baja para 2, arrojando como resultado que la provisión contable para el mes de diciembre</w:t>
      </w:r>
      <w:r w:rsidR="00073C26">
        <w:rPr>
          <w:rFonts w:ascii="Times New Roman" w:hAnsi="Times New Roman"/>
          <w:sz w:val="24"/>
          <w:szCs w:val="24"/>
        </w:rPr>
        <w:t xml:space="preserve"> </w:t>
      </w:r>
      <w:r w:rsidR="00F0378B">
        <w:rPr>
          <w:rFonts w:ascii="Times New Roman" w:hAnsi="Times New Roman"/>
          <w:sz w:val="24"/>
          <w:szCs w:val="24"/>
        </w:rPr>
        <w:t xml:space="preserve">fuese </w:t>
      </w:r>
      <w:r w:rsidR="00073C26">
        <w:rPr>
          <w:rFonts w:ascii="Times New Roman" w:hAnsi="Times New Roman"/>
          <w:sz w:val="24"/>
          <w:szCs w:val="24"/>
        </w:rPr>
        <w:t xml:space="preserve">de </w:t>
      </w:r>
      <w:r w:rsidRPr="000C6F1E">
        <w:rPr>
          <w:rFonts w:ascii="Times New Roman" w:hAnsi="Times New Roman"/>
          <w:sz w:val="24"/>
          <w:szCs w:val="24"/>
        </w:rPr>
        <w:t>$5.667.617.309 (solo se incluyen los procesos con probabilidad alta</w:t>
      </w:r>
      <w:r w:rsidR="00245798">
        <w:rPr>
          <w:rFonts w:ascii="Times New Roman" w:hAnsi="Times New Roman"/>
          <w:sz w:val="24"/>
          <w:szCs w:val="24"/>
        </w:rPr>
        <w:t xml:space="preserve"> &gt;50%</w:t>
      </w:r>
      <w:r w:rsidRPr="000C6F1E">
        <w:rPr>
          <w:rFonts w:ascii="Times New Roman" w:hAnsi="Times New Roman"/>
          <w:sz w:val="24"/>
          <w:szCs w:val="24"/>
        </w:rPr>
        <w:t>).</w:t>
      </w:r>
    </w:p>
    <w:p w14:paraId="593F0DFF" w14:textId="4FFD97F4" w:rsidR="00F249E8" w:rsidRPr="00E2373F" w:rsidRDefault="00945BB4" w:rsidP="00B27577">
      <w:pPr>
        <w:pStyle w:val="Ttulo1"/>
      </w:pPr>
      <w:bookmarkStart w:id="89" w:name="_Toc99455355"/>
      <w:r w:rsidRPr="00E2373F">
        <w:lastRenderedPageBreak/>
        <w:t>NOTA 2</w:t>
      </w:r>
      <w:r w:rsidR="00521FE4" w:rsidRPr="00E2373F">
        <w:t>5</w:t>
      </w:r>
      <w:r w:rsidRPr="00E2373F">
        <w:t>. ACTIVOS Y PASIVOS CONTINGENTES</w:t>
      </w:r>
      <w:bookmarkEnd w:id="89"/>
    </w:p>
    <w:p w14:paraId="10102A8D" w14:textId="38882430" w:rsidR="00AA74EC" w:rsidRPr="00E2373F" w:rsidRDefault="00AA74EC" w:rsidP="00B27577">
      <w:pPr>
        <w:spacing w:after="0" w:line="240" w:lineRule="auto"/>
        <w:jc w:val="both"/>
        <w:rPr>
          <w:rFonts w:ascii="Times New Roman" w:hAnsi="Times New Roman"/>
          <w:b/>
          <w:sz w:val="24"/>
          <w:szCs w:val="24"/>
        </w:rPr>
      </w:pPr>
    </w:p>
    <w:p w14:paraId="573D1A12" w14:textId="5866E73A" w:rsidR="00AA74EC" w:rsidRPr="00B13C8A" w:rsidRDefault="0071257D" w:rsidP="00B27577">
      <w:pPr>
        <w:pStyle w:val="Ttulo2"/>
        <w:numPr>
          <w:ilvl w:val="1"/>
          <w:numId w:val="17"/>
        </w:numPr>
        <w:spacing w:line="240" w:lineRule="auto"/>
        <w:ind w:left="0" w:firstLine="0"/>
        <w:jc w:val="left"/>
        <w:rPr>
          <w:szCs w:val="22"/>
        </w:rPr>
      </w:pPr>
      <w:r>
        <w:rPr>
          <w:szCs w:val="22"/>
        </w:rPr>
        <w:t xml:space="preserve"> </w:t>
      </w:r>
      <w:bookmarkStart w:id="90" w:name="_Toc99455356"/>
      <w:r w:rsidR="0062158F" w:rsidRPr="00B13C8A">
        <w:rPr>
          <w:szCs w:val="22"/>
        </w:rPr>
        <w:t>Activos contingentes</w:t>
      </w:r>
      <w:bookmarkEnd w:id="90"/>
    </w:p>
    <w:p w14:paraId="5E1DFCE1" w14:textId="151CB1A0" w:rsidR="00AA74EC" w:rsidRPr="00E2373F" w:rsidRDefault="00AA74EC" w:rsidP="00B27577">
      <w:pPr>
        <w:spacing w:after="0" w:line="240" w:lineRule="auto"/>
        <w:jc w:val="both"/>
        <w:rPr>
          <w:rFonts w:ascii="Times New Roman" w:hAnsi="Times New Roman"/>
          <w:b/>
          <w:sz w:val="24"/>
          <w:szCs w:val="24"/>
        </w:rPr>
      </w:pPr>
    </w:p>
    <w:p w14:paraId="720D9E38" w14:textId="1276F9D2" w:rsidR="00AA74EC" w:rsidRPr="00E86973" w:rsidRDefault="0071763C" w:rsidP="00B27577">
      <w:pPr>
        <w:spacing w:after="0" w:line="240" w:lineRule="auto"/>
        <w:jc w:val="both"/>
        <w:rPr>
          <w:rFonts w:ascii="Times New Roman" w:hAnsi="Times New Roman"/>
          <w:sz w:val="24"/>
          <w:szCs w:val="24"/>
        </w:rPr>
      </w:pPr>
      <w:r>
        <w:rPr>
          <w:rFonts w:ascii="Times New Roman" w:hAnsi="Times New Roman"/>
          <w:sz w:val="24"/>
          <w:szCs w:val="24"/>
        </w:rPr>
        <w:t xml:space="preserve">Los activos contingentes </w:t>
      </w:r>
      <w:r w:rsidR="00E86973" w:rsidRPr="00E86973">
        <w:rPr>
          <w:rFonts w:ascii="Times New Roman" w:hAnsi="Times New Roman"/>
          <w:sz w:val="24"/>
          <w:szCs w:val="24"/>
        </w:rPr>
        <w:t>identificad</w:t>
      </w:r>
      <w:r>
        <w:rPr>
          <w:rFonts w:ascii="Times New Roman" w:hAnsi="Times New Roman"/>
          <w:sz w:val="24"/>
          <w:szCs w:val="24"/>
        </w:rPr>
        <w:t>o</w:t>
      </w:r>
      <w:r w:rsidR="00D0518A">
        <w:rPr>
          <w:rFonts w:ascii="Times New Roman" w:hAnsi="Times New Roman"/>
          <w:sz w:val="24"/>
          <w:szCs w:val="24"/>
        </w:rPr>
        <w:t xml:space="preserve">s al </w:t>
      </w:r>
      <w:r w:rsidR="00B27577">
        <w:rPr>
          <w:rFonts w:ascii="Times New Roman" w:hAnsi="Times New Roman"/>
          <w:sz w:val="24"/>
          <w:szCs w:val="24"/>
        </w:rPr>
        <w:t>31</w:t>
      </w:r>
      <w:r w:rsidR="0010264E">
        <w:rPr>
          <w:rFonts w:ascii="Times New Roman" w:hAnsi="Times New Roman"/>
          <w:sz w:val="24"/>
          <w:szCs w:val="24"/>
        </w:rPr>
        <w:t>/0</w:t>
      </w:r>
      <w:r w:rsidR="00B27577">
        <w:rPr>
          <w:rFonts w:ascii="Times New Roman" w:hAnsi="Times New Roman"/>
          <w:sz w:val="24"/>
          <w:szCs w:val="24"/>
        </w:rPr>
        <w:t>3</w:t>
      </w:r>
      <w:r w:rsidR="0010264E">
        <w:rPr>
          <w:rFonts w:ascii="Times New Roman" w:hAnsi="Times New Roman"/>
          <w:sz w:val="24"/>
          <w:szCs w:val="24"/>
        </w:rPr>
        <w:t xml:space="preserve">/2022 y </w:t>
      </w:r>
      <w:r w:rsidR="00B27577">
        <w:rPr>
          <w:rFonts w:ascii="Times New Roman" w:hAnsi="Times New Roman"/>
          <w:sz w:val="24"/>
          <w:szCs w:val="24"/>
        </w:rPr>
        <w:t>31</w:t>
      </w:r>
      <w:r w:rsidR="0010264E">
        <w:rPr>
          <w:rFonts w:ascii="Times New Roman" w:hAnsi="Times New Roman"/>
          <w:sz w:val="24"/>
          <w:szCs w:val="24"/>
        </w:rPr>
        <w:t>/0</w:t>
      </w:r>
      <w:r w:rsidR="00B27577">
        <w:rPr>
          <w:rFonts w:ascii="Times New Roman" w:hAnsi="Times New Roman"/>
          <w:sz w:val="24"/>
          <w:szCs w:val="24"/>
        </w:rPr>
        <w:t>3</w:t>
      </w:r>
      <w:r w:rsidR="0010264E">
        <w:rPr>
          <w:rFonts w:ascii="Times New Roman" w:hAnsi="Times New Roman"/>
          <w:sz w:val="24"/>
          <w:szCs w:val="24"/>
        </w:rPr>
        <w:t>/2021</w:t>
      </w:r>
      <w:r w:rsidR="00E86973" w:rsidRPr="00E86973">
        <w:rPr>
          <w:rFonts w:ascii="Times New Roman" w:hAnsi="Times New Roman"/>
          <w:sz w:val="24"/>
          <w:szCs w:val="24"/>
        </w:rPr>
        <w:t xml:space="preserve"> son l</w:t>
      </w:r>
      <w:r w:rsidR="00344B8D">
        <w:rPr>
          <w:rFonts w:ascii="Times New Roman" w:hAnsi="Times New Roman"/>
          <w:sz w:val="24"/>
          <w:szCs w:val="24"/>
        </w:rPr>
        <w:t>o</w:t>
      </w:r>
      <w:r w:rsidR="00E86973" w:rsidRPr="00E86973">
        <w:rPr>
          <w:rFonts w:ascii="Times New Roman" w:hAnsi="Times New Roman"/>
          <w:sz w:val="24"/>
          <w:szCs w:val="24"/>
        </w:rPr>
        <w:t>s siguientes:</w:t>
      </w:r>
    </w:p>
    <w:p w14:paraId="0F7BB771" w14:textId="497ADD2C" w:rsidR="00AA74EC" w:rsidRPr="00E2373F" w:rsidRDefault="00AA74EC" w:rsidP="00B27577">
      <w:pPr>
        <w:pStyle w:val="Prrafodelista"/>
        <w:spacing w:after="0" w:line="240" w:lineRule="auto"/>
        <w:ind w:left="0"/>
        <w:jc w:val="center"/>
        <w:rPr>
          <w:rFonts w:ascii="Times New Roman" w:hAnsi="Times New Roman"/>
          <w:sz w:val="24"/>
          <w:szCs w:val="24"/>
        </w:rPr>
      </w:pPr>
    </w:p>
    <w:p w14:paraId="6037A52B" w14:textId="6E12D4B9" w:rsidR="00A845EC" w:rsidRPr="00E2373F" w:rsidRDefault="00A845EC" w:rsidP="00B27577">
      <w:pPr>
        <w:pStyle w:val="Ttulo3"/>
        <w:numPr>
          <w:ilvl w:val="2"/>
          <w:numId w:val="17"/>
        </w:numPr>
        <w:spacing w:line="240" w:lineRule="auto"/>
        <w:ind w:left="0" w:firstLine="0"/>
      </w:pPr>
      <w:bookmarkStart w:id="91" w:name="_Toc99455357"/>
      <w:r w:rsidRPr="00E2373F">
        <w:t>Revelaciones general</w:t>
      </w:r>
      <w:r w:rsidR="00FB2B76" w:rsidRPr="00E2373F">
        <w:t>es</w:t>
      </w:r>
      <w:r w:rsidRPr="00E2373F">
        <w:t xml:space="preserve"> de activos contingentes</w:t>
      </w:r>
      <w:bookmarkEnd w:id="91"/>
    </w:p>
    <w:p w14:paraId="51C84826" w14:textId="6377AFEC" w:rsidR="00A845EC" w:rsidRPr="00E2373F" w:rsidRDefault="00F3609B" w:rsidP="00667BC9">
      <w:pPr>
        <w:spacing w:after="0" w:line="240" w:lineRule="auto"/>
        <w:ind w:left="720"/>
        <w:jc w:val="both"/>
        <w:rPr>
          <w:rFonts w:ascii="Times New Roman" w:hAnsi="Times New Roman"/>
          <w:sz w:val="24"/>
          <w:szCs w:val="24"/>
        </w:rPr>
      </w:pPr>
      <w:r w:rsidRPr="00F3609B">
        <w:rPr>
          <w:noProof/>
        </w:rPr>
        <w:drawing>
          <wp:anchor distT="0" distB="0" distL="114300" distR="114300" simplePos="0" relativeHeight="252738560" behindDoc="1" locked="0" layoutInCell="1" allowOverlap="1" wp14:anchorId="69DDA042" wp14:editId="02F386CC">
            <wp:simplePos x="0" y="0"/>
            <wp:positionH relativeFrom="column">
              <wp:posOffset>-44450</wp:posOffset>
            </wp:positionH>
            <wp:positionV relativeFrom="paragraph">
              <wp:posOffset>61595</wp:posOffset>
            </wp:positionV>
            <wp:extent cx="5881370" cy="951230"/>
            <wp:effectExtent l="0" t="0" r="5080" b="127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81370" cy="951230"/>
                    </a:xfrm>
                    <a:prstGeom prst="rect">
                      <a:avLst/>
                    </a:prstGeom>
                    <a:noFill/>
                    <a:ln>
                      <a:noFill/>
                    </a:ln>
                  </pic:spPr>
                </pic:pic>
              </a:graphicData>
            </a:graphic>
          </wp:anchor>
        </w:drawing>
      </w:r>
    </w:p>
    <w:p w14:paraId="3D655F83" w14:textId="591D75E5" w:rsidR="00B52257" w:rsidRDefault="00B52257" w:rsidP="00667BC9">
      <w:pPr>
        <w:spacing w:after="0" w:line="240" w:lineRule="auto"/>
        <w:jc w:val="center"/>
        <w:rPr>
          <w:rFonts w:ascii="Times New Roman" w:hAnsi="Times New Roman"/>
          <w:sz w:val="24"/>
          <w:szCs w:val="24"/>
        </w:rPr>
      </w:pPr>
    </w:p>
    <w:p w14:paraId="35315045" w14:textId="51D24FF7" w:rsidR="00B52257" w:rsidRDefault="00B52257" w:rsidP="00667BC9">
      <w:pPr>
        <w:spacing w:after="0" w:line="240" w:lineRule="auto"/>
        <w:jc w:val="center"/>
        <w:rPr>
          <w:rFonts w:ascii="Times New Roman" w:hAnsi="Times New Roman"/>
          <w:sz w:val="24"/>
          <w:szCs w:val="24"/>
        </w:rPr>
      </w:pPr>
    </w:p>
    <w:p w14:paraId="40A34905" w14:textId="679DB2E2" w:rsidR="00B52257" w:rsidRDefault="00B52257" w:rsidP="00667BC9">
      <w:pPr>
        <w:spacing w:after="0" w:line="240" w:lineRule="auto"/>
        <w:jc w:val="center"/>
        <w:rPr>
          <w:rFonts w:ascii="Times New Roman" w:hAnsi="Times New Roman"/>
          <w:sz w:val="24"/>
          <w:szCs w:val="24"/>
        </w:rPr>
      </w:pPr>
    </w:p>
    <w:p w14:paraId="39501469" w14:textId="0E2BC86F" w:rsidR="00B52257" w:rsidRDefault="00B52257" w:rsidP="00667BC9">
      <w:pPr>
        <w:spacing w:after="0" w:line="240" w:lineRule="auto"/>
        <w:jc w:val="center"/>
        <w:rPr>
          <w:rFonts w:ascii="Times New Roman" w:hAnsi="Times New Roman"/>
          <w:sz w:val="24"/>
          <w:szCs w:val="24"/>
        </w:rPr>
      </w:pPr>
    </w:p>
    <w:p w14:paraId="3A318E6E" w14:textId="13DF6AF0" w:rsidR="00B52257" w:rsidRDefault="00F3609B" w:rsidP="00667BC9">
      <w:pPr>
        <w:spacing w:after="0" w:line="240" w:lineRule="auto"/>
        <w:jc w:val="center"/>
        <w:rPr>
          <w:rFonts w:ascii="Times New Roman" w:hAnsi="Times New Roman"/>
          <w:sz w:val="24"/>
          <w:szCs w:val="24"/>
        </w:rPr>
      </w:pPr>
      <w:r w:rsidRPr="00F3609B">
        <w:rPr>
          <w:noProof/>
        </w:rPr>
        <w:drawing>
          <wp:anchor distT="0" distB="0" distL="114300" distR="114300" simplePos="0" relativeHeight="252739584" behindDoc="1" locked="0" layoutInCell="1" allowOverlap="1" wp14:anchorId="5E97986B" wp14:editId="7DA8D9DD">
            <wp:simplePos x="0" y="0"/>
            <wp:positionH relativeFrom="column">
              <wp:posOffset>-44450</wp:posOffset>
            </wp:positionH>
            <wp:positionV relativeFrom="paragraph">
              <wp:posOffset>188595</wp:posOffset>
            </wp:positionV>
            <wp:extent cx="5881370" cy="1316355"/>
            <wp:effectExtent l="0" t="0" r="508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81370" cy="1316355"/>
                    </a:xfrm>
                    <a:prstGeom prst="rect">
                      <a:avLst/>
                    </a:prstGeom>
                    <a:noFill/>
                    <a:ln>
                      <a:noFill/>
                    </a:ln>
                  </pic:spPr>
                </pic:pic>
              </a:graphicData>
            </a:graphic>
          </wp:anchor>
        </w:drawing>
      </w:r>
    </w:p>
    <w:p w14:paraId="7B51D5CB" w14:textId="663B8162" w:rsidR="005E099D" w:rsidRDefault="005E099D" w:rsidP="00667BC9">
      <w:pPr>
        <w:spacing w:after="0" w:line="240" w:lineRule="auto"/>
        <w:jc w:val="center"/>
        <w:rPr>
          <w:rFonts w:ascii="Times New Roman" w:hAnsi="Times New Roman"/>
          <w:sz w:val="24"/>
          <w:szCs w:val="24"/>
        </w:rPr>
      </w:pPr>
    </w:p>
    <w:p w14:paraId="0891A4C0" w14:textId="03FA035E" w:rsidR="00B52257" w:rsidRDefault="00B52257" w:rsidP="00667BC9">
      <w:pPr>
        <w:spacing w:after="0" w:line="240" w:lineRule="auto"/>
        <w:jc w:val="center"/>
        <w:rPr>
          <w:rFonts w:ascii="Times New Roman" w:hAnsi="Times New Roman"/>
          <w:sz w:val="24"/>
          <w:szCs w:val="24"/>
        </w:rPr>
      </w:pPr>
    </w:p>
    <w:p w14:paraId="3F78A580" w14:textId="7DDECBD8" w:rsidR="00B52257" w:rsidRDefault="00B52257" w:rsidP="00667BC9">
      <w:pPr>
        <w:spacing w:after="0" w:line="240" w:lineRule="auto"/>
        <w:jc w:val="center"/>
        <w:rPr>
          <w:rFonts w:ascii="Times New Roman" w:hAnsi="Times New Roman"/>
          <w:sz w:val="24"/>
          <w:szCs w:val="24"/>
        </w:rPr>
      </w:pPr>
    </w:p>
    <w:p w14:paraId="0C2C0117" w14:textId="6CA02FA7" w:rsidR="002A286D" w:rsidRPr="00E2373F" w:rsidRDefault="002A286D" w:rsidP="00667BC9">
      <w:pPr>
        <w:spacing w:after="0" w:line="240" w:lineRule="auto"/>
        <w:jc w:val="center"/>
        <w:rPr>
          <w:rFonts w:ascii="Times New Roman" w:hAnsi="Times New Roman"/>
          <w:sz w:val="24"/>
          <w:szCs w:val="24"/>
        </w:rPr>
      </w:pPr>
    </w:p>
    <w:p w14:paraId="63194270" w14:textId="5D8FBB97" w:rsidR="00B52257" w:rsidRDefault="00B52257" w:rsidP="00EF3916">
      <w:pPr>
        <w:pStyle w:val="Prrafodelista"/>
        <w:spacing w:after="0" w:line="240" w:lineRule="auto"/>
        <w:ind w:left="0"/>
        <w:jc w:val="both"/>
        <w:rPr>
          <w:rFonts w:ascii="Times New Roman" w:hAnsi="Times New Roman"/>
          <w:sz w:val="24"/>
          <w:szCs w:val="24"/>
        </w:rPr>
      </w:pPr>
    </w:p>
    <w:p w14:paraId="72ED04B4" w14:textId="77777777" w:rsidR="00A250A2" w:rsidRDefault="00A250A2" w:rsidP="00EF3916">
      <w:pPr>
        <w:pStyle w:val="Prrafodelista"/>
        <w:spacing w:after="0" w:line="240" w:lineRule="auto"/>
        <w:ind w:left="0"/>
        <w:jc w:val="both"/>
        <w:rPr>
          <w:rFonts w:ascii="Times New Roman" w:hAnsi="Times New Roman"/>
          <w:sz w:val="24"/>
          <w:szCs w:val="24"/>
        </w:rPr>
      </w:pPr>
    </w:p>
    <w:p w14:paraId="6E27465E" w14:textId="77777777" w:rsidR="00197AAB" w:rsidRDefault="00197AAB" w:rsidP="00EF3916">
      <w:pPr>
        <w:pStyle w:val="Prrafodelista"/>
        <w:spacing w:after="0" w:line="240" w:lineRule="auto"/>
        <w:ind w:left="0"/>
        <w:jc w:val="both"/>
        <w:rPr>
          <w:rFonts w:ascii="Times New Roman" w:hAnsi="Times New Roman"/>
          <w:sz w:val="24"/>
          <w:szCs w:val="24"/>
        </w:rPr>
      </w:pPr>
    </w:p>
    <w:p w14:paraId="2ECD619D" w14:textId="77777777" w:rsidR="00197AAB" w:rsidRDefault="00197AAB" w:rsidP="00EF3916">
      <w:pPr>
        <w:pStyle w:val="Prrafodelista"/>
        <w:spacing w:after="0" w:line="240" w:lineRule="auto"/>
        <w:ind w:left="0"/>
        <w:jc w:val="both"/>
        <w:rPr>
          <w:rFonts w:ascii="Times New Roman" w:hAnsi="Times New Roman"/>
          <w:sz w:val="24"/>
          <w:szCs w:val="24"/>
        </w:rPr>
      </w:pPr>
    </w:p>
    <w:p w14:paraId="732F3CE9" w14:textId="0259A65E" w:rsidR="00EF3916" w:rsidRDefault="00D0518A" w:rsidP="00EF3916">
      <w:pPr>
        <w:pStyle w:val="Prrafodelista"/>
        <w:spacing w:after="0" w:line="240" w:lineRule="auto"/>
        <w:ind w:left="0"/>
        <w:jc w:val="both"/>
        <w:rPr>
          <w:rFonts w:ascii="Times New Roman" w:hAnsi="Times New Roman"/>
          <w:sz w:val="24"/>
          <w:szCs w:val="24"/>
        </w:rPr>
      </w:pPr>
      <w:r>
        <w:rPr>
          <w:rFonts w:ascii="Times New Roman" w:hAnsi="Times New Roman"/>
          <w:sz w:val="24"/>
          <w:szCs w:val="24"/>
        </w:rPr>
        <w:t>C</w:t>
      </w:r>
      <w:r w:rsidR="00EF3916" w:rsidRPr="009A3186">
        <w:rPr>
          <w:rFonts w:ascii="Times New Roman" w:hAnsi="Times New Roman"/>
          <w:sz w:val="24"/>
          <w:szCs w:val="24"/>
        </w:rPr>
        <w:t>orresponde a procesos judiciales de orden administrativo instaurados por el Instituto en contra de terceros, cuyo monto refleja la mejor estimación del valor a cobrar al culminar el proceso de manera favorable; sin embargo, tratándose de procesos judiciales existe incertidumbre asociada con el grado o nivel de ocurrencia del evento, razón por la cual la partida se mantiene en cuentas de orden.</w:t>
      </w:r>
    </w:p>
    <w:p w14:paraId="79EBDA67" w14:textId="77777777" w:rsidR="003256B4" w:rsidRPr="009A3186" w:rsidRDefault="003256B4" w:rsidP="00EF3916">
      <w:pPr>
        <w:pStyle w:val="Prrafodelista"/>
        <w:spacing w:after="0" w:line="240" w:lineRule="auto"/>
        <w:ind w:left="0"/>
        <w:jc w:val="both"/>
        <w:rPr>
          <w:rFonts w:ascii="Times New Roman" w:hAnsi="Times New Roman"/>
          <w:sz w:val="24"/>
          <w:szCs w:val="24"/>
        </w:rPr>
      </w:pPr>
    </w:p>
    <w:p w14:paraId="0E676F94" w14:textId="529C3258" w:rsidR="00BF0CC0" w:rsidRPr="00517733" w:rsidRDefault="00BF0CC0" w:rsidP="00425DA9">
      <w:pPr>
        <w:pStyle w:val="Ttulo2"/>
        <w:numPr>
          <w:ilvl w:val="1"/>
          <w:numId w:val="17"/>
        </w:numPr>
        <w:ind w:left="567" w:hanging="567"/>
        <w:rPr>
          <w:szCs w:val="22"/>
        </w:rPr>
      </w:pPr>
      <w:bookmarkStart w:id="92" w:name="_Toc99455358"/>
      <w:r w:rsidRPr="00517733">
        <w:rPr>
          <w:szCs w:val="22"/>
        </w:rPr>
        <w:t>Pasivos contingentes</w:t>
      </w:r>
      <w:bookmarkEnd w:id="92"/>
    </w:p>
    <w:p w14:paraId="31303824" w14:textId="7AE63664" w:rsidR="00BF0CC0" w:rsidRPr="00E2373F" w:rsidRDefault="00BF0CC0" w:rsidP="00667BC9">
      <w:pPr>
        <w:spacing w:after="0" w:line="240" w:lineRule="auto"/>
        <w:jc w:val="both"/>
        <w:rPr>
          <w:rFonts w:ascii="Times New Roman" w:hAnsi="Times New Roman"/>
          <w:b/>
          <w:sz w:val="24"/>
          <w:szCs w:val="24"/>
        </w:rPr>
      </w:pPr>
    </w:p>
    <w:p w14:paraId="21CED9DF" w14:textId="4734CEB9" w:rsidR="00BF0CC0" w:rsidRDefault="00A77373" w:rsidP="00A77373">
      <w:pPr>
        <w:spacing w:after="0" w:line="240" w:lineRule="auto"/>
        <w:jc w:val="both"/>
        <w:rPr>
          <w:rFonts w:ascii="Times New Roman" w:hAnsi="Times New Roman"/>
          <w:sz w:val="24"/>
          <w:szCs w:val="24"/>
        </w:rPr>
      </w:pPr>
      <w:r w:rsidRPr="00A77373">
        <w:rPr>
          <w:rFonts w:ascii="Times New Roman" w:hAnsi="Times New Roman"/>
          <w:sz w:val="24"/>
          <w:szCs w:val="24"/>
        </w:rPr>
        <w:t xml:space="preserve">Los </w:t>
      </w:r>
      <w:r>
        <w:rPr>
          <w:rFonts w:ascii="Times New Roman" w:hAnsi="Times New Roman"/>
          <w:sz w:val="24"/>
          <w:szCs w:val="24"/>
        </w:rPr>
        <w:t>pasivos</w:t>
      </w:r>
      <w:r w:rsidRPr="00A77373">
        <w:rPr>
          <w:rFonts w:ascii="Times New Roman" w:hAnsi="Times New Roman"/>
          <w:sz w:val="24"/>
          <w:szCs w:val="24"/>
        </w:rPr>
        <w:t xml:space="preserve"> contingentes identificados al </w:t>
      </w:r>
      <w:r w:rsidR="00B27577">
        <w:rPr>
          <w:rFonts w:ascii="Times New Roman" w:hAnsi="Times New Roman"/>
          <w:sz w:val="24"/>
          <w:szCs w:val="24"/>
        </w:rPr>
        <w:t>31/03/2022 y 31/03/2021</w:t>
      </w:r>
      <w:r w:rsidRPr="00A77373">
        <w:rPr>
          <w:rFonts w:ascii="Times New Roman" w:hAnsi="Times New Roman"/>
          <w:sz w:val="24"/>
          <w:szCs w:val="24"/>
        </w:rPr>
        <w:t xml:space="preserve"> son l</w:t>
      </w:r>
      <w:r w:rsidR="00344B8D">
        <w:rPr>
          <w:rFonts w:ascii="Times New Roman" w:hAnsi="Times New Roman"/>
          <w:sz w:val="24"/>
          <w:szCs w:val="24"/>
        </w:rPr>
        <w:t>o</w:t>
      </w:r>
      <w:r w:rsidRPr="00A77373">
        <w:rPr>
          <w:rFonts w:ascii="Times New Roman" w:hAnsi="Times New Roman"/>
          <w:sz w:val="24"/>
          <w:szCs w:val="24"/>
        </w:rPr>
        <w:t>s siguientes:</w:t>
      </w:r>
    </w:p>
    <w:p w14:paraId="5D2DB3A0" w14:textId="4610A9EE" w:rsidR="00A77373" w:rsidRPr="00A77373" w:rsidRDefault="00F3609B" w:rsidP="00A77373">
      <w:pPr>
        <w:spacing w:after="0" w:line="240" w:lineRule="auto"/>
        <w:jc w:val="both"/>
        <w:rPr>
          <w:rFonts w:ascii="Times New Roman" w:hAnsi="Times New Roman"/>
          <w:sz w:val="24"/>
          <w:szCs w:val="24"/>
          <w:u w:val="single"/>
        </w:rPr>
      </w:pPr>
      <w:r w:rsidRPr="00F3609B">
        <w:rPr>
          <w:noProof/>
        </w:rPr>
        <w:drawing>
          <wp:anchor distT="0" distB="0" distL="114300" distR="114300" simplePos="0" relativeHeight="252740608" behindDoc="1" locked="0" layoutInCell="1" allowOverlap="1" wp14:anchorId="11F551E3" wp14:editId="02804715">
            <wp:simplePos x="0" y="0"/>
            <wp:positionH relativeFrom="column">
              <wp:posOffset>0</wp:posOffset>
            </wp:positionH>
            <wp:positionV relativeFrom="paragraph">
              <wp:posOffset>83820</wp:posOffset>
            </wp:positionV>
            <wp:extent cx="5881370" cy="891540"/>
            <wp:effectExtent l="0" t="0" r="5080" b="381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81370" cy="891540"/>
                    </a:xfrm>
                    <a:prstGeom prst="rect">
                      <a:avLst/>
                    </a:prstGeom>
                    <a:noFill/>
                    <a:ln>
                      <a:noFill/>
                    </a:ln>
                  </pic:spPr>
                </pic:pic>
              </a:graphicData>
            </a:graphic>
          </wp:anchor>
        </w:drawing>
      </w:r>
    </w:p>
    <w:p w14:paraId="1788FB5C" w14:textId="13A11F22" w:rsidR="00BF0CC0" w:rsidRPr="00E2373F" w:rsidRDefault="00BF0CC0" w:rsidP="00667BC9">
      <w:pPr>
        <w:pStyle w:val="Prrafodelista"/>
        <w:spacing w:after="0" w:line="240" w:lineRule="auto"/>
        <w:ind w:left="0"/>
        <w:jc w:val="center"/>
        <w:rPr>
          <w:rFonts w:ascii="Times New Roman" w:hAnsi="Times New Roman"/>
          <w:sz w:val="24"/>
          <w:szCs w:val="24"/>
        </w:rPr>
      </w:pPr>
    </w:p>
    <w:p w14:paraId="7D1FA680" w14:textId="3578386B" w:rsidR="00BF0CC0" w:rsidRDefault="00BF0CC0" w:rsidP="00667BC9">
      <w:pPr>
        <w:pStyle w:val="Prrafodelista"/>
        <w:spacing w:after="0" w:line="240" w:lineRule="auto"/>
        <w:ind w:left="0"/>
        <w:jc w:val="center"/>
        <w:rPr>
          <w:rFonts w:ascii="Times New Roman" w:hAnsi="Times New Roman"/>
          <w:sz w:val="24"/>
          <w:szCs w:val="24"/>
        </w:rPr>
      </w:pPr>
    </w:p>
    <w:p w14:paraId="60193ED4" w14:textId="0DF0CC4F" w:rsidR="00485F3B" w:rsidRDefault="00485F3B" w:rsidP="00667BC9">
      <w:pPr>
        <w:pStyle w:val="Prrafodelista"/>
        <w:spacing w:after="0" w:line="240" w:lineRule="auto"/>
        <w:ind w:left="0"/>
        <w:jc w:val="center"/>
        <w:rPr>
          <w:rFonts w:ascii="Times New Roman" w:hAnsi="Times New Roman"/>
          <w:sz w:val="24"/>
          <w:szCs w:val="24"/>
        </w:rPr>
      </w:pPr>
    </w:p>
    <w:p w14:paraId="69DABCA7" w14:textId="6C51FE11" w:rsidR="00485F3B" w:rsidRDefault="00485F3B" w:rsidP="00667BC9">
      <w:pPr>
        <w:pStyle w:val="Prrafodelista"/>
        <w:spacing w:after="0" w:line="240" w:lineRule="auto"/>
        <w:ind w:left="0"/>
        <w:jc w:val="center"/>
        <w:rPr>
          <w:rFonts w:ascii="Times New Roman" w:hAnsi="Times New Roman"/>
          <w:sz w:val="24"/>
          <w:szCs w:val="24"/>
        </w:rPr>
      </w:pPr>
    </w:p>
    <w:p w14:paraId="208CD17B" w14:textId="6A86E1DB" w:rsidR="0011120A" w:rsidRDefault="0011120A" w:rsidP="00667BC9">
      <w:pPr>
        <w:pStyle w:val="Prrafodelista"/>
        <w:spacing w:after="0" w:line="240" w:lineRule="auto"/>
        <w:ind w:left="0"/>
        <w:jc w:val="center"/>
        <w:rPr>
          <w:rFonts w:ascii="Times New Roman" w:hAnsi="Times New Roman"/>
          <w:sz w:val="24"/>
          <w:szCs w:val="24"/>
        </w:rPr>
      </w:pPr>
    </w:p>
    <w:p w14:paraId="6F3B7FAD" w14:textId="642CE2A3" w:rsidR="00FB2B76" w:rsidRPr="00E2373F" w:rsidRDefault="00F3609B" w:rsidP="00425DA9">
      <w:pPr>
        <w:pStyle w:val="Ttulo3"/>
        <w:numPr>
          <w:ilvl w:val="2"/>
          <w:numId w:val="17"/>
        </w:numPr>
        <w:ind w:left="709" w:hanging="709"/>
      </w:pPr>
      <w:bookmarkStart w:id="93" w:name="_Toc99455359"/>
      <w:r w:rsidRPr="00F3609B">
        <w:rPr>
          <w:noProof/>
        </w:rPr>
        <w:drawing>
          <wp:anchor distT="0" distB="0" distL="114300" distR="114300" simplePos="0" relativeHeight="252741632" behindDoc="1" locked="0" layoutInCell="1" allowOverlap="1" wp14:anchorId="26B21B7A" wp14:editId="4A4E0861">
            <wp:simplePos x="0" y="0"/>
            <wp:positionH relativeFrom="column">
              <wp:posOffset>0</wp:posOffset>
            </wp:positionH>
            <wp:positionV relativeFrom="paragraph">
              <wp:posOffset>191770</wp:posOffset>
            </wp:positionV>
            <wp:extent cx="5881370" cy="1659255"/>
            <wp:effectExtent l="0" t="0" r="508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81370" cy="1659255"/>
                    </a:xfrm>
                    <a:prstGeom prst="rect">
                      <a:avLst/>
                    </a:prstGeom>
                    <a:noFill/>
                    <a:ln>
                      <a:noFill/>
                    </a:ln>
                  </pic:spPr>
                </pic:pic>
              </a:graphicData>
            </a:graphic>
          </wp:anchor>
        </w:drawing>
      </w:r>
      <w:r w:rsidR="00FB2B76" w:rsidRPr="00E2373F">
        <w:t>Revelaciones generales de pasivos contingentes</w:t>
      </w:r>
      <w:bookmarkEnd w:id="93"/>
    </w:p>
    <w:p w14:paraId="4145E74E" w14:textId="3A97949B" w:rsidR="00557D10" w:rsidRDefault="00557D10" w:rsidP="00667BC9">
      <w:pPr>
        <w:spacing w:after="0" w:line="240" w:lineRule="auto"/>
        <w:ind w:left="720"/>
        <w:jc w:val="both"/>
        <w:rPr>
          <w:rFonts w:ascii="Times New Roman" w:hAnsi="Times New Roman"/>
          <w:sz w:val="24"/>
          <w:szCs w:val="24"/>
        </w:rPr>
      </w:pPr>
    </w:p>
    <w:p w14:paraId="4A408408" w14:textId="5946B2D6" w:rsidR="00557D10" w:rsidRDefault="00557D10" w:rsidP="00667BC9">
      <w:pPr>
        <w:spacing w:after="0" w:line="240" w:lineRule="auto"/>
        <w:ind w:left="720"/>
        <w:jc w:val="both"/>
        <w:rPr>
          <w:rFonts w:ascii="Times New Roman" w:hAnsi="Times New Roman"/>
          <w:sz w:val="24"/>
          <w:szCs w:val="24"/>
        </w:rPr>
      </w:pPr>
    </w:p>
    <w:p w14:paraId="6DE29FAB" w14:textId="42AD19D6" w:rsidR="00557D10" w:rsidRDefault="00557D10" w:rsidP="00667BC9">
      <w:pPr>
        <w:spacing w:after="0" w:line="240" w:lineRule="auto"/>
        <w:ind w:left="720"/>
        <w:jc w:val="both"/>
        <w:rPr>
          <w:rFonts w:ascii="Times New Roman" w:hAnsi="Times New Roman"/>
          <w:sz w:val="24"/>
          <w:szCs w:val="24"/>
        </w:rPr>
      </w:pPr>
    </w:p>
    <w:p w14:paraId="6BEE106A" w14:textId="77308785" w:rsidR="00557D10" w:rsidRDefault="00557D10" w:rsidP="00667BC9">
      <w:pPr>
        <w:spacing w:after="0" w:line="240" w:lineRule="auto"/>
        <w:ind w:left="720"/>
        <w:jc w:val="both"/>
        <w:rPr>
          <w:rFonts w:ascii="Times New Roman" w:hAnsi="Times New Roman"/>
          <w:sz w:val="24"/>
          <w:szCs w:val="24"/>
        </w:rPr>
      </w:pPr>
    </w:p>
    <w:p w14:paraId="2DF5618D" w14:textId="127E34BC" w:rsidR="00557D10" w:rsidRDefault="00557D10" w:rsidP="00667BC9">
      <w:pPr>
        <w:spacing w:after="0" w:line="240" w:lineRule="auto"/>
        <w:ind w:left="720"/>
        <w:jc w:val="both"/>
        <w:rPr>
          <w:rFonts w:ascii="Times New Roman" w:hAnsi="Times New Roman"/>
          <w:sz w:val="24"/>
          <w:szCs w:val="24"/>
        </w:rPr>
      </w:pPr>
    </w:p>
    <w:p w14:paraId="1F1AAD8C" w14:textId="50D75B7B" w:rsidR="00557D10" w:rsidRDefault="00557D10" w:rsidP="00667BC9">
      <w:pPr>
        <w:spacing w:after="0" w:line="240" w:lineRule="auto"/>
        <w:ind w:left="720"/>
        <w:jc w:val="both"/>
        <w:rPr>
          <w:rFonts w:ascii="Times New Roman" w:hAnsi="Times New Roman"/>
          <w:sz w:val="24"/>
          <w:szCs w:val="24"/>
        </w:rPr>
      </w:pPr>
    </w:p>
    <w:p w14:paraId="28FF86F5" w14:textId="2F2FD2DD" w:rsidR="00557D10" w:rsidRDefault="00557D10" w:rsidP="00667BC9">
      <w:pPr>
        <w:spacing w:after="0" w:line="240" w:lineRule="auto"/>
        <w:ind w:left="720"/>
        <w:jc w:val="both"/>
        <w:rPr>
          <w:rFonts w:ascii="Times New Roman" w:hAnsi="Times New Roman"/>
          <w:sz w:val="24"/>
          <w:szCs w:val="24"/>
        </w:rPr>
      </w:pPr>
    </w:p>
    <w:p w14:paraId="589E0BA1" w14:textId="4B2507CD" w:rsidR="00FB2B76" w:rsidRDefault="00FB2B76" w:rsidP="00667BC9">
      <w:pPr>
        <w:spacing w:after="0" w:line="240" w:lineRule="auto"/>
        <w:ind w:left="720"/>
        <w:jc w:val="both"/>
        <w:rPr>
          <w:rFonts w:ascii="Times New Roman" w:hAnsi="Times New Roman"/>
          <w:sz w:val="24"/>
          <w:szCs w:val="24"/>
        </w:rPr>
      </w:pPr>
    </w:p>
    <w:p w14:paraId="5D5D2682" w14:textId="77777777" w:rsidR="0011120A" w:rsidRDefault="0011120A" w:rsidP="00B231F3">
      <w:pPr>
        <w:spacing w:after="0" w:line="240" w:lineRule="auto"/>
        <w:jc w:val="both"/>
        <w:rPr>
          <w:rFonts w:ascii="Times New Roman" w:hAnsi="Times New Roman"/>
          <w:sz w:val="24"/>
          <w:szCs w:val="24"/>
        </w:rPr>
      </w:pPr>
    </w:p>
    <w:p w14:paraId="33926860" w14:textId="175A4903" w:rsidR="00557D10" w:rsidRDefault="00B231F3" w:rsidP="00B231F3">
      <w:pPr>
        <w:spacing w:after="0" w:line="240" w:lineRule="auto"/>
        <w:jc w:val="both"/>
        <w:rPr>
          <w:rFonts w:ascii="Times New Roman" w:hAnsi="Times New Roman"/>
          <w:sz w:val="24"/>
          <w:szCs w:val="24"/>
        </w:rPr>
      </w:pPr>
      <w:r w:rsidRPr="00B231F3">
        <w:rPr>
          <w:rFonts w:ascii="Times New Roman" w:hAnsi="Times New Roman"/>
          <w:sz w:val="24"/>
          <w:szCs w:val="24"/>
        </w:rPr>
        <w:lastRenderedPageBreak/>
        <w:t>Corresponde a el valor de las pretensiones por litigios y demandas en contra de la entidad, no afectada por fallos desfavorables; conformadas por procesos de carácter laboral y administrativo, su grado o nivel de ocurrencia está relacionado con la incertidumbre, razón por la cual son mantenidas en las cuentas de orden.</w:t>
      </w:r>
    </w:p>
    <w:p w14:paraId="55FAE2E6" w14:textId="66BD79C4" w:rsidR="001D22BF" w:rsidRDefault="001D22BF" w:rsidP="00B231F3">
      <w:pPr>
        <w:spacing w:after="0" w:line="240" w:lineRule="auto"/>
        <w:jc w:val="both"/>
        <w:rPr>
          <w:rFonts w:ascii="Times New Roman" w:hAnsi="Times New Roman"/>
          <w:sz w:val="24"/>
          <w:szCs w:val="24"/>
        </w:rPr>
      </w:pPr>
    </w:p>
    <w:p w14:paraId="09DB0972" w14:textId="0E52744B" w:rsidR="00663FE0" w:rsidRPr="00E2373F" w:rsidRDefault="00663FE0" w:rsidP="00663FE0">
      <w:pPr>
        <w:pStyle w:val="Ttulo1"/>
      </w:pPr>
      <w:bookmarkStart w:id="94" w:name="_Toc99455360"/>
      <w:r w:rsidRPr="00E2373F">
        <w:t>NOTA 2</w:t>
      </w:r>
      <w:r>
        <w:t>6</w:t>
      </w:r>
      <w:r w:rsidRPr="00E2373F">
        <w:t xml:space="preserve">. </w:t>
      </w:r>
      <w:r>
        <w:t>CUENTAS DE ORDEN</w:t>
      </w:r>
      <w:bookmarkEnd w:id="94"/>
    </w:p>
    <w:p w14:paraId="330620FF" w14:textId="0B84AD59" w:rsidR="00663FE0" w:rsidRPr="00E2373F" w:rsidRDefault="00663FE0" w:rsidP="00663FE0">
      <w:pPr>
        <w:spacing w:after="0" w:line="240" w:lineRule="auto"/>
        <w:jc w:val="both"/>
        <w:rPr>
          <w:rFonts w:ascii="Times New Roman" w:hAnsi="Times New Roman"/>
          <w:b/>
          <w:sz w:val="24"/>
          <w:szCs w:val="24"/>
        </w:rPr>
      </w:pPr>
    </w:p>
    <w:p w14:paraId="0D2CB486" w14:textId="04E42F88" w:rsidR="00663FE0" w:rsidRPr="00B13C8A" w:rsidRDefault="00663FE0" w:rsidP="00425DA9">
      <w:pPr>
        <w:pStyle w:val="Ttulo2"/>
        <w:numPr>
          <w:ilvl w:val="1"/>
          <w:numId w:val="18"/>
        </w:numPr>
        <w:ind w:left="567" w:hanging="567"/>
        <w:rPr>
          <w:szCs w:val="22"/>
        </w:rPr>
      </w:pPr>
      <w:bookmarkStart w:id="95" w:name="_Toc99455361"/>
      <w:r>
        <w:rPr>
          <w:szCs w:val="22"/>
        </w:rPr>
        <w:t>Cuentas de orden deudoras</w:t>
      </w:r>
      <w:bookmarkEnd w:id="95"/>
    </w:p>
    <w:p w14:paraId="6092E8EE" w14:textId="1BE6C273" w:rsidR="00663FE0" w:rsidRDefault="001758F6" w:rsidP="001758F6">
      <w:pPr>
        <w:spacing w:after="0" w:line="240" w:lineRule="auto"/>
        <w:jc w:val="both"/>
        <w:rPr>
          <w:rFonts w:ascii="Times New Roman" w:hAnsi="Times New Roman"/>
          <w:sz w:val="24"/>
          <w:szCs w:val="24"/>
        </w:rPr>
      </w:pPr>
      <w:r w:rsidRPr="001758F6">
        <w:rPr>
          <w:rFonts w:ascii="Times New Roman" w:hAnsi="Times New Roman"/>
          <w:sz w:val="24"/>
          <w:szCs w:val="24"/>
        </w:rPr>
        <w:t>La desagregación de l</w:t>
      </w:r>
      <w:r>
        <w:rPr>
          <w:rFonts w:ascii="Times New Roman" w:hAnsi="Times New Roman"/>
          <w:sz w:val="24"/>
          <w:szCs w:val="24"/>
        </w:rPr>
        <w:t>a</w:t>
      </w:r>
      <w:r w:rsidRPr="001758F6">
        <w:rPr>
          <w:rFonts w:ascii="Times New Roman" w:hAnsi="Times New Roman"/>
          <w:sz w:val="24"/>
          <w:szCs w:val="24"/>
        </w:rPr>
        <w:t xml:space="preserve">s </w:t>
      </w:r>
      <w:r>
        <w:rPr>
          <w:rFonts w:ascii="Times New Roman" w:hAnsi="Times New Roman"/>
          <w:sz w:val="24"/>
          <w:szCs w:val="24"/>
        </w:rPr>
        <w:t xml:space="preserve">cuentas de orden deudoras </w:t>
      </w:r>
      <w:r w:rsidRPr="001758F6">
        <w:rPr>
          <w:rFonts w:ascii="Times New Roman" w:hAnsi="Times New Roman"/>
          <w:sz w:val="24"/>
          <w:szCs w:val="24"/>
        </w:rPr>
        <w:t>presentad</w:t>
      </w:r>
      <w:r>
        <w:rPr>
          <w:rFonts w:ascii="Times New Roman" w:hAnsi="Times New Roman"/>
          <w:sz w:val="24"/>
          <w:szCs w:val="24"/>
        </w:rPr>
        <w:t>o</w:t>
      </w:r>
      <w:r w:rsidRPr="001758F6">
        <w:rPr>
          <w:rFonts w:ascii="Times New Roman" w:hAnsi="Times New Roman"/>
          <w:sz w:val="24"/>
          <w:szCs w:val="24"/>
        </w:rPr>
        <w:t xml:space="preserve"> en el estado de situación financiera individual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1758F6">
        <w:rPr>
          <w:rFonts w:ascii="Times New Roman" w:hAnsi="Times New Roman"/>
          <w:sz w:val="24"/>
          <w:szCs w:val="24"/>
        </w:rPr>
        <w:t>es la siguiente:</w:t>
      </w:r>
    </w:p>
    <w:p w14:paraId="5D582EA2" w14:textId="5B223487" w:rsidR="001D22BF" w:rsidRDefault="00A731B2" w:rsidP="001758F6">
      <w:pPr>
        <w:spacing w:after="0" w:line="240" w:lineRule="auto"/>
        <w:jc w:val="both"/>
        <w:rPr>
          <w:rFonts w:ascii="Times New Roman" w:hAnsi="Times New Roman"/>
          <w:sz w:val="24"/>
          <w:szCs w:val="24"/>
        </w:rPr>
      </w:pPr>
      <w:r w:rsidRPr="00A731B2">
        <w:rPr>
          <w:noProof/>
        </w:rPr>
        <w:drawing>
          <wp:anchor distT="0" distB="0" distL="114300" distR="114300" simplePos="0" relativeHeight="252742656" behindDoc="1" locked="0" layoutInCell="1" allowOverlap="1" wp14:anchorId="48247F3C" wp14:editId="1F00C154">
            <wp:simplePos x="0" y="0"/>
            <wp:positionH relativeFrom="column">
              <wp:posOffset>-44450</wp:posOffset>
            </wp:positionH>
            <wp:positionV relativeFrom="paragraph">
              <wp:posOffset>48895</wp:posOffset>
            </wp:positionV>
            <wp:extent cx="5881370" cy="1771650"/>
            <wp:effectExtent l="0" t="0" r="508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81370" cy="1771650"/>
                    </a:xfrm>
                    <a:prstGeom prst="rect">
                      <a:avLst/>
                    </a:prstGeom>
                    <a:noFill/>
                    <a:ln>
                      <a:noFill/>
                    </a:ln>
                  </pic:spPr>
                </pic:pic>
              </a:graphicData>
            </a:graphic>
            <wp14:sizeRelV relativeFrom="margin">
              <wp14:pctHeight>0</wp14:pctHeight>
            </wp14:sizeRelV>
          </wp:anchor>
        </w:drawing>
      </w:r>
    </w:p>
    <w:p w14:paraId="4DAA094E" w14:textId="5AB34769" w:rsidR="00C017D3" w:rsidRDefault="00C017D3" w:rsidP="001758F6">
      <w:pPr>
        <w:spacing w:after="0" w:line="240" w:lineRule="auto"/>
        <w:jc w:val="both"/>
        <w:rPr>
          <w:rFonts w:ascii="Times New Roman" w:hAnsi="Times New Roman"/>
          <w:sz w:val="24"/>
          <w:szCs w:val="24"/>
        </w:rPr>
      </w:pPr>
    </w:p>
    <w:p w14:paraId="7E1B74AC" w14:textId="7D19648A" w:rsidR="00CB52E9" w:rsidRDefault="00CB52E9" w:rsidP="001758F6">
      <w:pPr>
        <w:spacing w:after="0" w:line="240" w:lineRule="auto"/>
        <w:jc w:val="both"/>
        <w:rPr>
          <w:rFonts w:ascii="Times New Roman" w:hAnsi="Times New Roman"/>
          <w:sz w:val="24"/>
          <w:szCs w:val="24"/>
        </w:rPr>
      </w:pPr>
    </w:p>
    <w:p w14:paraId="0BCDCAF7" w14:textId="05BD528D" w:rsidR="00CB52E9" w:rsidRPr="001758F6" w:rsidRDefault="00CB52E9" w:rsidP="001758F6">
      <w:pPr>
        <w:spacing w:after="0" w:line="240" w:lineRule="auto"/>
        <w:jc w:val="both"/>
        <w:rPr>
          <w:rFonts w:ascii="Times New Roman" w:hAnsi="Times New Roman"/>
          <w:sz w:val="24"/>
          <w:szCs w:val="24"/>
        </w:rPr>
      </w:pPr>
    </w:p>
    <w:p w14:paraId="7EFEE65F" w14:textId="4FB71B9E" w:rsidR="00663FE0" w:rsidRDefault="00663FE0" w:rsidP="00663FE0">
      <w:pPr>
        <w:pStyle w:val="Prrafodelista"/>
        <w:spacing w:after="0" w:line="240" w:lineRule="auto"/>
        <w:ind w:left="0"/>
        <w:jc w:val="center"/>
        <w:rPr>
          <w:rFonts w:ascii="Times New Roman" w:hAnsi="Times New Roman"/>
          <w:sz w:val="24"/>
          <w:szCs w:val="24"/>
        </w:rPr>
      </w:pPr>
    </w:p>
    <w:p w14:paraId="30B3459C" w14:textId="42BF9527" w:rsidR="00BB490E" w:rsidRDefault="00BB490E" w:rsidP="00663FE0">
      <w:pPr>
        <w:pStyle w:val="Prrafodelista"/>
        <w:spacing w:after="0" w:line="240" w:lineRule="auto"/>
        <w:ind w:left="0"/>
        <w:jc w:val="center"/>
        <w:rPr>
          <w:rFonts w:ascii="Times New Roman" w:hAnsi="Times New Roman"/>
          <w:sz w:val="24"/>
          <w:szCs w:val="24"/>
        </w:rPr>
      </w:pPr>
    </w:p>
    <w:p w14:paraId="6547E3EC" w14:textId="2E01025E" w:rsidR="00BB490E" w:rsidRDefault="00BB490E" w:rsidP="00663FE0">
      <w:pPr>
        <w:pStyle w:val="Prrafodelista"/>
        <w:spacing w:after="0" w:line="240" w:lineRule="auto"/>
        <w:ind w:left="0"/>
        <w:jc w:val="center"/>
        <w:rPr>
          <w:rFonts w:ascii="Times New Roman" w:hAnsi="Times New Roman"/>
          <w:sz w:val="24"/>
          <w:szCs w:val="24"/>
        </w:rPr>
      </w:pPr>
    </w:p>
    <w:p w14:paraId="1A37BF4D" w14:textId="245AF967" w:rsidR="00BB490E" w:rsidRDefault="00BB490E" w:rsidP="00663FE0">
      <w:pPr>
        <w:pStyle w:val="Prrafodelista"/>
        <w:spacing w:after="0" w:line="240" w:lineRule="auto"/>
        <w:ind w:left="0"/>
        <w:jc w:val="center"/>
        <w:rPr>
          <w:rFonts w:ascii="Times New Roman" w:hAnsi="Times New Roman"/>
          <w:sz w:val="24"/>
          <w:szCs w:val="24"/>
        </w:rPr>
      </w:pPr>
    </w:p>
    <w:p w14:paraId="4A15B535" w14:textId="6F560464" w:rsidR="00BB490E" w:rsidRDefault="00BB490E" w:rsidP="00663FE0">
      <w:pPr>
        <w:pStyle w:val="Prrafodelista"/>
        <w:spacing w:after="0" w:line="240" w:lineRule="auto"/>
        <w:ind w:left="0"/>
        <w:jc w:val="center"/>
        <w:rPr>
          <w:rFonts w:ascii="Times New Roman" w:hAnsi="Times New Roman"/>
          <w:sz w:val="24"/>
          <w:szCs w:val="24"/>
        </w:rPr>
      </w:pPr>
    </w:p>
    <w:p w14:paraId="46EA69AE" w14:textId="5C5432D7" w:rsidR="00BB490E" w:rsidRDefault="00BB490E" w:rsidP="00663FE0">
      <w:pPr>
        <w:pStyle w:val="Prrafodelista"/>
        <w:spacing w:after="0" w:line="240" w:lineRule="auto"/>
        <w:ind w:left="0"/>
        <w:jc w:val="center"/>
        <w:rPr>
          <w:rFonts w:ascii="Times New Roman" w:hAnsi="Times New Roman"/>
          <w:sz w:val="24"/>
          <w:szCs w:val="24"/>
        </w:rPr>
      </w:pPr>
    </w:p>
    <w:p w14:paraId="16370612" w14:textId="12DA22B4" w:rsidR="0021148A" w:rsidRDefault="0021148A" w:rsidP="00663FE0">
      <w:pPr>
        <w:pStyle w:val="Prrafodelista"/>
        <w:spacing w:after="0" w:line="240" w:lineRule="auto"/>
        <w:ind w:left="0"/>
        <w:jc w:val="center"/>
        <w:rPr>
          <w:rFonts w:ascii="Times New Roman" w:hAnsi="Times New Roman"/>
          <w:sz w:val="24"/>
          <w:szCs w:val="24"/>
        </w:rPr>
      </w:pPr>
    </w:p>
    <w:p w14:paraId="187A8E77" w14:textId="4CE442A2" w:rsidR="00663FE0" w:rsidRPr="00517733" w:rsidRDefault="00663FE0" w:rsidP="00A21C32">
      <w:pPr>
        <w:pStyle w:val="Ttulo2"/>
        <w:numPr>
          <w:ilvl w:val="1"/>
          <w:numId w:val="18"/>
        </w:numPr>
        <w:spacing w:line="240" w:lineRule="auto"/>
        <w:ind w:left="0" w:firstLine="0"/>
        <w:rPr>
          <w:szCs w:val="22"/>
        </w:rPr>
      </w:pPr>
      <w:bookmarkStart w:id="96" w:name="_Toc99455362"/>
      <w:r>
        <w:rPr>
          <w:szCs w:val="22"/>
        </w:rPr>
        <w:t>Cuentas de orden acreedoras</w:t>
      </w:r>
      <w:bookmarkEnd w:id="96"/>
    </w:p>
    <w:p w14:paraId="054DC6F6" w14:textId="77777777" w:rsidR="00A21C32" w:rsidRDefault="00A21C32" w:rsidP="00A21C32">
      <w:pPr>
        <w:spacing w:after="0" w:line="240" w:lineRule="auto"/>
        <w:jc w:val="both"/>
        <w:rPr>
          <w:rFonts w:ascii="Times New Roman" w:hAnsi="Times New Roman"/>
          <w:sz w:val="24"/>
          <w:szCs w:val="24"/>
        </w:rPr>
      </w:pPr>
    </w:p>
    <w:p w14:paraId="2F47F66B" w14:textId="71B9F08A" w:rsidR="003E2DB3" w:rsidRDefault="003E2DB3" w:rsidP="00A21C32">
      <w:pPr>
        <w:spacing w:after="0" w:line="240" w:lineRule="auto"/>
        <w:jc w:val="both"/>
        <w:rPr>
          <w:rFonts w:ascii="Times New Roman" w:hAnsi="Times New Roman"/>
          <w:sz w:val="24"/>
          <w:szCs w:val="24"/>
        </w:rPr>
      </w:pPr>
      <w:r w:rsidRPr="001758F6">
        <w:rPr>
          <w:rFonts w:ascii="Times New Roman" w:hAnsi="Times New Roman"/>
          <w:sz w:val="24"/>
          <w:szCs w:val="24"/>
        </w:rPr>
        <w:t>La desagregación de l</w:t>
      </w:r>
      <w:r>
        <w:rPr>
          <w:rFonts w:ascii="Times New Roman" w:hAnsi="Times New Roman"/>
          <w:sz w:val="24"/>
          <w:szCs w:val="24"/>
        </w:rPr>
        <w:t>a</w:t>
      </w:r>
      <w:r w:rsidRPr="001758F6">
        <w:rPr>
          <w:rFonts w:ascii="Times New Roman" w:hAnsi="Times New Roman"/>
          <w:sz w:val="24"/>
          <w:szCs w:val="24"/>
        </w:rPr>
        <w:t xml:space="preserve">s </w:t>
      </w:r>
      <w:r>
        <w:rPr>
          <w:rFonts w:ascii="Times New Roman" w:hAnsi="Times New Roman"/>
          <w:sz w:val="24"/>
          <w:szCs w:val="24"/>
        </w:rPr>
        <w:t xml:space="preserve">cuentas de orden acreedoras </w:t>
      </w:r>
      <w:r w:rsidRPr="001758F6">
        <w:rPr>
          <w:rFonts w:ascii="Times New Roman" w:hAnsi="Times New Roman"/>
          <w:sz w:val="24"/>
          <w:szCs w:val="24"/>
        </w:rPr>
        <w:t>presentad</w:t>
      </w:r>
      <w:r>
        <w:rPr>
          <w:rFonts w:ascii="Times New Roman" w:hAnsi="Times New Roman"/>
          <w:sz w:val="24"/>
          <w:szCs w:val="24"/>
        </w:rPr>
        <w:t>o</w:t>
      </w:r>
      <w:r w:rsidRPr="001758F6">
        <w:rPr>
          <w:rFonts w:ascii="Times New Roman" w:hAnsi="Times New Roman"/>
          <w:sz w:val="24"/>
          <w:szCs w:val="24"/>
        </w:rPr>
        <w:t xml:space="preserve"> en el estado de situación financiera individual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1758F6">
        <w:rPr>
          <w:rFonts w:ascii="Times New Roman" w:hAnsi="Times New Roman"/>
          <w:sz w:val="24"/>
          <w:szCs w:val="24"/>
        </w:rPr>
        <w:t>es la siguiente:</w:t>
      </w:r>
    </w:p>
    <w:p w14:paraId="08394E91" w14:textId="68E4071B" w:rsidR="00663FE0" w:rsidRDefault="00A731B2" w:rsidP="003E2DB3">
      <w:pPr>
        <w:spacing w:after="0" w:line="240" w:lineRule="auto"/>
        <w:jc w:val="both"/>
        <w:rPr>
          <w:noProof/>
        </w:rPr>
      </w:pPr>
      <w:r w:rsidRPr="00A731B2">
        <w:rPr>
          <w:noProof/>
        </w:rPr>
        <w:drawing>
          <wp:anchor distT="0" distB="0" distL="114300" distR="114300" simplePos="0" relativeHeight="252743680" behindDoc="1" locked="0" layoutInCell="1" allowOverlap="1" wp14:anchorId="6C940A72" wp14:editId="075972E7">
            <wp:simplePos x="0" y="0"/>
            <wp:positionH relativeFrom="column">
              <wp:posOffset>0</wp:posOffset>
            </wp:positionH>
            <wp:positionV relativeFrom="paragraph">
              <wp:posOffset>60960</wp:posOffset>
            </wp:positionV>
            <wp:extent cx="5881370" cy="1422400"/>
            <wp:effectExtent l="0" t="0" r="5080" b="635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81370" cy="1422400"/>
                    </a:xfrm>
                    <a:prstGeom prst="rect">
                      <a:avLst/>
                    </a:prstGeom>
                    <a:noFill/>
                    <a:ln>
                      <a:noFill/>
                    </a:ln>
                  </pic:spPr>
                </pic:pic>
              </a:graphicData>
            </a:graphic>
            <wp14:sizeRelV relativeFrom="margin">
              <wp14:pctHeight>0</wp14:pctHeight>
            </wp14:sizeRelV>
          </wp:anchor>
        </w:drawing>
      </w:r>
    </w:p>
    <w:p w14:paraId="2386E7F5" w14:textId="618A9E84" w:rsidR="00FC713B" w:rsidRDefault="00FC713B" w:rsidP="003E2DB3">
      <w:pPr>
        <w:spacing w:after="0" w:line="240" w:lineRule="auto"/>
        <w:jc w:val="both"/>
        <w:rPr>
          <w:noProof/>
          <w:lang w:eastAsia="es-CO"/>
        </w:rPr>
      </w:pPr>
    </w:p>
    <w:p w14:paraId="39673F91" w14:textId="7E5190A0" w:rsidR="0060271A" w:rsidRPr="003E2DB3" w:rsidRDefault="0060271A" w:rsidP="003E2DB3">
      <w:pPr>
        <w:spacing w:after="0" w:line="240" w:lineRule="auto"/>
        <w:jc w:val="both"/>
        <w:rPr>
          <w:rFonts w:ascii="Times New Roman" w:hAnsi="Times New Roman"/>
          <w:sz w:val="24"/>
          <w:szCs w:val="24"/>
          <w:u w:val="single"/>
        </w:rPr>
      </w:pPr>
    </w:p>
    <w:p w14:paraId="1987BED6" w14:textId="159D428E" w:rsidR="00663FE0" w:rsidRPr="00E2373F" w:rsidRDefault="00663FE0" w:rsidP="003E2DB3">
      <w:pPr>
        <w:pStyle w:val="Prrafodelista"/>
        <w:spacing w:after="0" w:line="240" w:lineRule="auto"/>
        <w:ind w:left="0"/>
        <w:rPr>
          <w:rFonts w:ascii="Times New Roman" w:hAnsi="Times New Roman"/>
          <w:sz w:val="24"/>
          <w:szCs w:val="24"/>
        </w:rPr>
      </w:pPr>
    </w:p>
    <w:p w14:paraId="6D8CC34A" w14:textId="0E3FB33E" w:rsidR="00BB490E" w:rsidRDefault="00BB490E" w:rsidP="00073315">
      <w:pPr>
        <w:pStyle w:val="Ttulo1"/>
      </w:pPr>
    </w:p>
    <w:p w14:paraId="371C71F3" w14:textId="7CE199CF" w:rsidR="002E4E70" w:rsidRPr="002E4E70" w:rsidRDefault="002E4E70" w:rsidP="002E4E70"/>
    <w:p w14:paraId="5E71EC88" w14:textId="12DE8EAB" w:rsidR="00D0163C" w:rsidRDefault="00D0163C" w:rsidP="00073315">
      <w:pPr>
        <w:pStyle w:val="Ttulo1"/>
      </w:pPr>
    </w:p>
    <w:p w14:paraId="0C169E3E" w14:textId="384DA71C" w:rsidR="00043721" w:rsidRDefault="00043721" w:rsidP="00073315">
      <w:pPr>
        <w:pStyle w:val="Ttulo1"/>
      </w:pPr>
    </w:p>
    <w:p w14:paraId="3920E744" w14:textId="19F4D161" w:rsidR="00945BB4" w:rsidRPr="00E2373F" w:rsidRDefault="009D66A3" w:rsidP="00A21C32">
      <w:pPr>
        <w:pStyle w:val="Ttulo1"/>
      </w:pPr>
      <w:bookmarkStart w:id="97" w:name="_Toc99455363"/>
      <w:r w:rsidRPr="00E2373F">
        <w:t>NOTA 2</w:t>
      </w:r>
      <w:r w:rsidR="00663FE0">
        <w:t>7</w:t>
      </w:r>
      <w:r w:rsidRPr="00E2373F">
        <w:t>. PATRIMONIO</w:t>
      </w:r>
      <w:bookmarkEnd w:id="97"/>
    </w:p>
    <w:p w14:paraId="4A4CE2BE" w14:textId="4DE8481A" w:rsidR="00666E3C" w:rsidRPr="00E2373F" w:rsidRDefault="00666E3C" w:rsidP="00A21C32">
      <w:pPr>
        <w:spacing w:after="0" w:line="240" w:lineRule="auto"/>
        <w:jc w:val="both"/>
        <w:rPr>
          <w:rFonts w:ascii="Times New Roman" w:hAnsi="Times New Roman"/>
          <w:b/>
          <w:sz w:val="24"/>
          <w:szCs w:val="24"/>
        </w:rPr>
      </w:pPr>
    </w:p>
    <w:p w14:paraId="02A373FC" w14:textId="6D6AC071" w:rsidR="00666E3C" w:rsidRPr="00413089" w:rsidRDefault="00666E3C" w:rsidP="00A21C32">
      <w:pPr>
        <w:pStyle w:val="Ttulo2"/>
        <w:numPr>
          <w:ilvl w:val="0"/>
          <w:numId w:val="0"/>
        </w:numPr>
        <w:spacing w:line="240" w:lineRule="auto"/>
        <w:rPr>
          <w:szCs w:val="22"/>
        </w:rPr>
      </w:pPr>
      <w:bookmarkStart w:id="98" w:name="_Toc99455364"/>
      <w:r w:rsidRPr="00413089">
        <w:rPr>
          <w:szCs w:val="22"/>
        </w:rPr>
        <w:t>Composición</w:t>
      </w:r>
      <w:bookmarkEnd w:id="98"/>
    </w:p>
    <w:p w14:paraId="53A53FAC" w14:textId="63B6624A" w:rsidR="00666E3C" w:rsidRPr="00E2373F" w:rsidRDefault="00666E3C" w:rsidP="00A21C32">
      <w:pPr>
        <w:spacing w:after="0" w:line="240" w:lineRule="auto"/>
        <w:jc w:val="both"/>
        <w:rPr>
          <w:rFonts w:ascii="Times New Roman" w:hAnsi="Times New Roman"/>
          <w:b/>
          <w:sz w:val="24"/>
          <w:szCs w:val="24"/>
        </w:rPr>
      </w:pPr>
    </w:p>
    <w:p w14:paraId="4DCB6FE2" w14:textId="1DA4CAE8" w:rsidR="00666E3C" w:rsidRDefault="002E307F" w:rsidP="00A21C32">
      <w:pPr>
        <w:pStyle w:val="Prrafodelista"/>
        <w:spacing w:after="0" w:line="240" w:lineRule="auto"/>
        <w:ind w:left="0"/>
        <w:jc w:val="both"/>
        <w:rPr>
          <w:rFonts w:ascii="Times New Roman" w:hAnsi="Times New Roman"/>
          <w:sz w:val="24"/>
          <w:szCs w:val="24"/>
        </w:rPr>
      </w:pPr>
      <w:r w:rsidRPr="002E307F">
        <w:rPr>
          <w:rFonts w:ascii="Times New Roman" w:hAnsi="Times New Roman"/>
          <w:sz w:val="24"/>
          <w:szCs w:val="24"/>
        </w:rPr>
        <w:t xml:space="preserve">El capital fiscal de la entidad presentado en el estado de situación financiera individual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2E307F">
        <w:rPr>
          <w:rFonts w:ascii="Times New Roman" w:hAnsi="Times New Roman"/>
          <w:sz w:val="24"/>
          <w:szCs w:val="24"/>
        </w:rPr>
        <w:t>se muestra a continuación:</w:t>
      </w:r>
    </w:p>
    <w:p w14:paraId="4C534829" w14:textId="55720ECF" w:rsidR="00EA35F9" w:rsidRDefault="00A21C32" w:rsidP="002E307F">
      <w:pPr>
        <w:pStyle w:val="Prrafodelista"/>
        <w:spacing w:after="0" w:line="240" w:lineRule="auto"/>
        <w:ind w:left="0"/>
        <w:jc w:val="both"/>
        <w:rPr>
          <w:rFonts w:ascii="Times New Roman" w:hAnsi="Times New Roman"/>
          <w:sz w:val="24"/>
          <w:szCs w:val="24"/>
        </w:rPr>
      </w:pPr>
      <w:r w:rsidRPr="00A21C32">
        <w:rPr>
          <w:noProof/>
        </w:rPr>
        <w:drawing>
          <wp:anchor distT="0" distB="0" distL="114300" distR="114300" simplePos="0" relativeHeight="252744704" behindDoc="1" locked="0" layoutInCell="1" allowOverlap="1" wp14:anchorId="4EB309BD" wp14:editId="180F144A">
            <wp:simplePos x="0" y="0"/>
            <wp:positionH relativeFrom="column">
              <wp:posOffset>-44450</wp:posOffset>
            </wp:positionH>
            <wp:positionV relativeFrom="paragraph">
              <wp:posOffset>46355</wp:posOffset>
            </wp:positionV>
            <wp:extent cx="5881370" cy="1225550"/>
            <wp:effectExtent l="0" t="0" r="508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81370" cy="1225550"/>
                    </a:xfrm>
                    <a:prstGeom prst="rect">
                      <a:avLst/>
                    </a:prstGeom>
                    <a:noFill/>
                    <a:ln>
                      <a:noFill/>
                    </a:ln>
                  </pic:spPr>
                </pic:pic>
              </a:graphicData>
            </a:graphic>
            <wp14:sizeRelV relativeFrom="margin">
              <wp14:pctHeight>0</wp14:pctHeight>
            </wp14:sizeRelV>
          </wp:anchor>
        </w:drawing>
      </w:r>
    </w:p>
    <w:p w14:paraId="289FBCD0" w14:textId="070EA1B9" w:rsidR="002E307F" w:rsidRDefault="002E307F" w:rsidP="002E307F">
      <w:pPr>
        <w:pStyle w:val="Prrafodelista"/>
        <w:spacing w:after="0" w:line="240" w:lineRule="auto"/>
        <w:ind w:left="0"/>
        <w:jc w:val="both"/>
        <w:rPr>
          <w:rFonts w:ascii="Times New Roman" w:hAnsi="Times New Roman"/>
          <w:sz w:val="24"/>
          <w:szCs w:val="24"/>
        </w:rPr>
      </w:pPr>
    </w:p>
    <w:p w14:paraId="183D030B" w14:textId="7A75C1CC" w:rsidR="002E307F" w:rsidRPr="00E2373F" w:rsidRDefault="002E307F" w:rsidP="002E307F">
      <w:pPr>
        <w:pStyle w:val="Prrafodelista"/>
        <w:spacing w:after="0" w:line="240" w:lineRule="auto"/>
        <w:ind w:left="0"/>
        <w:jc w:val="both"/>
        <w:rPr>
          <w:rFonts w:ascii="Times New Roman" w:hAnsi="Times New Roman"/>
          <w:sz w:val="24"/>
          <w:szCs w:val="24"/>
          <w:u w:val="single"/>
        </w:rPr>
      </w:pPr>
    </w:p>
    <w:p w14:paraId="109016DB" w14:textId="69D303CE" w:rsidR="00666E3C" w:rsidRPr="00E2373F" w:rsidRDefault="006630EF" w:rsidP="00667BC9">
      <w:pPr>
        <w:pStyle w:val="Prrafodelista"/>
        <w:spacing w:after="0" w:line="240" w:lineRule="auto"/>
        <w:ind w:left="0"/>
        <w:jc w:val="center"/>
        <w:rPr>
          <w:rFonts w:ascii="Times New Roman" w:hAnsi="Times New Roman"/>
          <w:sz w:val="24"/>
          <w:szCs w:val="24"/>
        </w:rPr>
      </w:pPr>
      <w:r w:rsidRPr="006630EF">
        <w:rPr>
          <w:rFonts w:ascii="Times New Roman" w:hAnsi="Times New Roman"/>
          <w:sz w:val="24"/>
          <w:szCs w:val="24"/>
        </w:rPr>
        <w:t xml:space="preserve"> </w:t>
      </w:r>
      <w:r w:rsidR="00B3437B">
        <w:rPr>
          <w:rFonts w:ascii="Times New Roman" w:hAnsi="Times New Roman"/>
          <w:sz w:val="24"/>
          <w:szCs w:val="24"/>
        </w:rPr>
        <w:t xml:space="preserve">   </w:t>
      </w:r>
    </w:p>
    <w:p w14:paraId="746AFEC5" w14:textId="77777777" w:rsidR="00485F3B" w:rsidRDefault="00485F3B" w:rsidP="000D63C3">
      <w:pPr>
        <w:pStyle w:val="Prrafodelista"/>
        <w:spacing w:after="0" w:line="240" w:lineRule="auto"/>
        <w:ind w:left="0"/>
        <w:jc w:val="both"/>
        <w:rPr>
          <w:rFonts w:ascii="Times New Roman" w:hAnsi="Times New Roman"/>
          <w:sz w:val="24"/>
          <w:szCs w:val="24"/>
        </w:rPr>
      </w:pPr>
    </w:p>
    <w:p w14:paraId="2D6F9DF1" w14:textId="77777777" w:rsidR="00485F3B" w:rsidRDefault="00485F3B" w:rsidP="000D63C3">
      <w:pPr>
        <w:pStyle w:val="Prrafodelista"/>
        <w:spacing w:after="0" w:line="240" w:lineRule="auto"/>
        <w:ind w:left="0"/>
        <w:jc w:val="both"/>
        <w:rPr>
          <w:rFonts w:ascii="Times New Roman" w:hAnsi="Times New Roman"/>
          <w:sz w:val="24"/>
          <w:szCs w:val="24"/>
        </w:rPr>
      </w:pPr>
    </w:p>
    <w:p w14:paraId="76E9F032" w14:textId="77777777" w:rsidR="00485F3B" w:rsidRDefault="00485F3B" w:rsidP="000D63C3">
      <w:pPr>
        <w:pStyle w:val="Prrafodelista"/>
        <w:spacing w:after="0" w:line="240" w:lineRule="auto"/>
        <w:ind w:left="0"/>
        <w:jc w:val="both"/>
        <w:rPr>
          <w:rFonts w:ascii="Times New Roman" w:hAnsi="Times New Roman"/>
          <w:sz w:val="24"/>
          <w:szCs w:val="24"/>
        </w:rPr>
      </w:pPr>
    </w:p>
    <w:p w14:paraId="1F9CF630" w14:textId="00CD0F8E" w:rsidR="00C22C91" w:rsidRDefault="00C22C91" w:rsidP="000D63C3">
      <w:pPr>
        <w:pStyle w:val="Prrafodelista"/>
        <w:spacing w:after="0" w:line="240" w:lineRule="auto"/>
        <w:ind w:left="0"/>
        <w:jc w:val="both"/>
        <w:rPr>
          <w:rFonts w:ascii="Times New Roman" w:hAnsi="Times New Roman"/>
          <w:sz w:val="24"/>
          <w:szCs w:val="24"/>
        </w:rPr>
      </w:pPr>
      <w:r w:rsidRPr="00C22C91">
        <w:rPr>
          <w:rFonts w:ascii="Times New Roman" w:hAnsi="Times New Roman"/>
          <w:sz w:val="24"/>
          <w:szCs w:val="24"/>
        </w:rPr>
        <w:lastRenderedPageBreak/>
        <w:t>Dentro del capital fiscal se incluye el monto inicialmente invertido por el Estado para la creación de la Entidad Pública. Adicionalmente, de conformidad con los criterios establecidos en el Régimen de Contabilidad Pública vigente hasta el 31 de diciembre de 2015, en el saldo del capital fiscal se incluyeron los siguientes conceptos que se originaron con anterioridad a la aplicación del Marco Normativo para Empresas que no Cotizan en el Mercado de Valores, y que no Captan ni Administran Ahorro del Público:</w:t>
      </w:r>
    </w:p>
    <w:p w14:paraId="1C721827" w14:textId="42CCBF68" w:rsidR="00043721" w:rsidRDefault="00043721" w:rsidP="000D63C3">
      <w:pPr>
        <w:pStyle w:val="Prrafodelista"/>
        <w:spacing w:after="0" w:line="240" w:lineRule="auto"/>
        <w:ind w:left="0"/>
        <w:jc w:val="both"/>
        <w:rPr>
          <w:rFonts w:ascii="Times New Roman" w:hAnsi="Times New Roman"/>
          <w:sz w:val="24"/>
          <w:szCs w:val="24"/>
        </w:rPr>
      </w:pPr>
    </w:p>
    <w:p w14:paraId="639D58B7" w14:textId="4185392B" w:rsidR="00C22C91" w:rsidRPr="00C22C91" w:rsidRDefault="00C22C91" w:rsidP="00C22C91">
      <w:pPr>
        <w:pStyle w:val="Prrafodelista"/>
        <w:spacing w:after="0" w:line="240" w:lineRule="auto"/>
        <w:ind w:left="708"/>
        <w:jc w:val="both"/>
        <w:rPr>
          <w:rFonts w:ascii="Times New Roman" w:hAnsi="Times New Roman"/>
          <w:sz w:val="24"/>
          <w:szCs w:val="24"/>
        </w:rPr>
      </w:pPr>
      <w:r w:rsidRPr="00C22C91">
        <w:rPr>
          <w:rFonts w:ascii="Times New Roman" w:hAnsi="Times New Roman"/>
          <w:sz w:val="24"/>
          <w:szCs w:val="24"/>
        </w:rPr>
        <w:t>•</w:t>
      </w:r>
      <w:r>
        <w:rPr>
          <w:rFonts w:ascii="Times New Roman" w:hAnsi="Times New Roman"/>
          <w:sz w:val="24"/>
          <w:szCs w:val="24"/>
        </w:rPr>
        <w:t xml:space="preserve"> </w:t>
      </w:r>
      <w:r w:rsidRPr="00C22C91">
        <w:rPr>
          <w:rFonts w:ascii="Times New Roman" w:hAnsi="Times New Roman"/>
          <w:sz w:val="24"/>
          <w:szCs w:val="24"/>
        </w:rPr>
        <w:t>El valor de la reclasificación de los excedentes de los ejercicios anteriores, al inicio de cada período contable.</w:t>
      </w:r>
    </w:p>
    <w:p w14:paraId="7F5536C8" w14:textId="038535AC" w:rsidR="00C22C91" w:rsidRPr="00C22C91" w:rsidRDefault="00C22C91" w:rsidP="00C22C91">
      <w:pPr>
        <w:pStyle w:val="Prrafodelista"/>
        <w:spacing w:after="0" w:line="240" w:lineRule="auto"/>
        <w:ind w:left="708"/>
        <w:jc w:val="both"/>
        <w:rPr>
          <w:rFonts w:ascii="Times New Roman" w:hAnsi="Times New Roman"/>
          <w:sz w:val="24"/>
          <w:szCs w:val="24"/>
        </w:rPr>
      </w:pPr>
      <w:r w:rsidRPr="00C22C91">
        <w:rPr>
          <w:rFonts w:ascii="Times New Roman" w:hAnsi="Times New Roman"/>
          <w:sz w:val="24"/>
          <w:szCs w:val="24"/>
        </w:rPr>
        <w:t>•</w:t>
      </w:r>
      <w:r>
        <w:rPr>
          <w:rFonts w:ascii="Times New Roman" w:hAnsi="Times New Roman"/>
          <w:sz w:val="24"/>
          <w:szCs w:val="24"/>
        </w:rPr>
        <w:t xml:space="preserve"> </w:t>
      </w:r>
      <w:r w:rsidRPr="00C22C91">
        <w:rPr>
          <w:rFonts w:ascii="Times New Roman" w:hAnsi="Times New Roman"/>
          <w:sz w:val="24"/>
          <w:szCs w:val="24"/>
        </w:rPr>
        <w:t>El valor de los bienes y derechos reclasificados de la cuenta patrimonio público incorporado, al inicio de cada período contable.</w:t>
      </w:r>
    </w:p>
    <w:p w14:paraId="0B284246" w14:textId="77777777" w:rsidR="00A21C32" w:rsidRDefault="00A21C32" w:rsidP="00C22C91">
      <w:pPr>
        <w:pStyle w:val="Prrafodelista"/>
        <w:spacing w:after="0" w:line="240" w:lineRule="auto"/>
        <w:ind w:left="0"/>
        <w:rPr>
          <w:rFonts w:ascii="Times New Roman" w:hAnsi="Times New Roman"/>
          <w:b/>
          <w:bCs/>
          <w:sz w:val="24"/>
          <w:szCs w:val="24"/>
        </w:rPr>
      </w:pPr>
    </w:p>
    <w:p w14:paraId="04B8E632" w14:textId="269A5E81" w:rsidR="00C22C91" w:rsidRPr="00C22C91" w:rsidRDefault="00C22C91" w:rsidP="00C22C91">
      <w:pPr>
        <w:pStyle w:val="Prrafodelista"/>
        <w:spacing w:after="0" w:line="240" w:lineRule="auto"/>
        <w:ind w:left="0"/>
        <w:rPr>
          <w:rFonts w:ascii="Times New Roman" w:hAnsi="Times New Roman"/>
          <w:b/>
          <w:bCs/>
          <w:sz w:val="24"/>
          <w:szCs w:val="24"/>
        </w:rPr>
      </w:pPr>
      <w:r w:rsidRPr="00C22C91">
        <w:rPr>
          <w:rFonts w:ascii="Times New Roman" w:hAnsi="Times New Roman"/>
          <w:b/>
          <w:bCs/>
          <w:sz w:val="24"/>
          <w:szCs w:val="24"/>
        </w:rPr>
        <w:t>Reservas</w:t>
      </w:r>
    </w:p>
    <w:p w14:paraId="5DC0DDA3" w14:textId="4EDFC82C" w:rsidR="00C22C91" w:rsidRDefault="00C22C91" w:rsidP="00C22C91">
      <w:pPr>
        <w:pStyle w:val="Prrafodelista"/>
        <w:spacing w:after="0" w:line="240" w:lineRule="auto"/>
        <w:ind w:left="0"/>
        <w:rPr>
          <w:rFonts w:ascii="Times New Roman" w:hAnsi="Times New Roman"/>
          <w:sz w:val="24"/>
          <w:szCs w:val="24"/>
        </w:rPr>
      </w:pPr>
    </w:p>
    <w:p w14:paraId="02C99CAA" w14:textId="798D6658" w:rsidR="00666E3C" w:rsidRDefault="00C22C91" w:rsidP="00C22C91">
      <w:pPr>
        <w:pStyle w:val="Prrafodelista"/>
        <w:spacing w:after="0" w:line="240" w:lineRule="auto"/>
        <w:ind w:left="0"/>
        <w:rPr>
          <w:rFonts w:ascii="Times New Roman" w:hAnsi="Times New Roman"/>
          <w:sz w:val="24"/>
          <w:szCs w:val="24"/>
        </w:rPr>
      </w:pPr>
      <w:r w:rsidRPr="00C22C91">
        <w:rPr>
          <w:rFonts w:ascii="Times New Roman" w:hAnsi="Times New Roman"/>
          <w:sz w:val="24"/>
          <w:szCs w:val="24"/>
        </w:rPr>
        <w:t xml:space="preserve">Las reservas de la entidad presentadas en el estado de situación financiera individual al </w:t>
      </w:r>
      <w:r w:rsidR="00432519">
        <w:rPr>
          <w:rFonts w:ascii="Times New Roman" w:hAnsi="Times New Roman"/>
          <w:sz w:val="24"/>
          <w:szCs w:val="24"/>
        </w:rPr>
        <w:t>31 de marzo de 2022 y 31 de marzo de 2021</w:t>
      </w:r>
      <w:r w:rsidR="00B07F5F">
        <w:rPr>
          <w:rFonts w:ascii="Times New Roman" w:hAnsi="Times New Roman"/>
          <w:sz w:val="24"/>
          <w:szCs w:val="24"/>
        </w:rPr>
        <w:t xml:space="preserve"> </w:t>
      </w:r>
      <w:r w:rsidRPr="00C22C91">
        <w:rPr>
          <w:rFonts w:ascii="Times New Roman" w:hAnsi="Times New Roman"/>
          <w:sz w:val="24"/>
          <w:szCs w:val="24"/>
        </w:rPr>
        <w:t>se muestran a continuación:</w:t>
      </w:r>
    </w:p>
    <w:p w14:paraId="63BA0F3F" w14:textId="5FC7D839" w:rsidR="00C22C91" w:rsidRDefault="00A21C32" w:rsidP="00C22C91">
      <w:pPr>
        <w:pStyle w:val="Prrafodelista"/>
        <w:spacing w:after="0" w:line="240" w:lineRule="auto"/>
        <w:ind w:left="0"/>
        <w:rPr>
          <w:noProof/>
        </w:rPr>
      </w:pPr>
      <w:r w:rsidRPr="00A21C32">
        <w:rPr>
          <w:noProof/>
        </w:rPr>
        <w:drawing>
          <wp:anchor distT="0" distB="0" distL="114300" distR="114300" simplePos="0" relativeHeight="252745728" behindDoc="1" locked="0" layoutInCell="1" allowOverlap="1" wp14:anchorId="4D33E051" wp14:editId="2FCD7172">
            <wp:simplePos x="0" y="0"/>
            <wp:positionH relativeFrom="column">
              <wp:posOffset>0</wp:posOffset>
            </wp:positionH>
            <wp:positionV relativeFrom="paragraph">
              <wp:posOffset>57150</wp:posOffset>
            </wp:positionV>
            <wp:extent cx="5467350" cy="889000"/>
            <wp:effectExtent l="0" t="0" r="0" b="635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67350" cy="889000"/>
                    </a:xfrm>
                    <a:prstGeom prst="rect">
                      <a:avLst/>
                    </a:prstGeom>
                    <a:noFill/>
                    <a:ln>
                      <a:noFill/>
                    </a:ln>
                  </pic:spPr>
                </pic:pic>
              </a:graphicData>
            </a:graphic>
          </wp:anchor>
        </w:drawing>
      </w:r>
    </w:p>
    <w:p w14:paraId="428BB10A" w14:textId="4804F913" w:rsidR="0011120A" w:rsidRDefault="0011120A" w:rsidP="00C22C91">
      <w:pPr>
        <w:pStyle w:val="Prrafodelista"/>
        <w:spacing w:after="0" w:line="240" w:lineRule="auto"/>
        <w:ind w:left="0"/>
        <w:rPr>
          <w:rFonts w:ascii="Times New Roman" w:hAnsi="Times New Roman"/>
          <w:sz w:val="24"/>
          <w:szCs w:val="24"/>
        </w:rPr>
      </w:pPr>
    </w:p>
    <w:p w14:paraId="1EDBDDEC" w14:textId="040B2450" w:rsidR="00C22C91" w:rsidRPr="00E2373F" w:rsidRDefault="00C22C91" w:rsidP="00B81A15">
      <w:pPr>
        <w:pStyle w:val="Prrafodelista"/>
        <w:spacing w:after="0" w:line="240" w:lineRule="auto"/>
        <w:ind w:left="0"/>
        <w:jc w:val="center"/>
        <w:rPr>
          <w:rFonts w:ascii="Times New Roman" w:hAnsi="Times New Roman"/>
          <w:sz w:val="24"/>
          <w:szCs w:val="24"/>
        </w:rPr>
      </w:pPr>
    </w:p>
    <w:p w14:paraId="0FAEEF3A" w14:textId="3605518A" w:rsidR="00B80BF8" w:rsidRDefault="00B80BF8" w:rsidP="00B80BF8">
      <w:pPr>
        <w:spacing w:after="0" w:line="240" w:lineRule="auto"/>
        <w:jc w:val="both"/>
        <w:rPr>
          <w:rFonts w:ascii="Times New Roman" w:hAnsi="Times New Roman"/>
          <w:sz w:val="24"/>
          <w:szCs w:val="24"/>
          <w:u w:val="single"/>
        </w:rPr>
      </w:pPr>
    </w:p>
    <w:p w14:paraId="4449FC86" w14:textId="77777777" w:rsidR="00BB490E" w:rsidRDefault="00BB490E" w:rsidP="009B61D0">
      <w:pPr>
        <w:spacing w:after="0" w:line="240" w:lineRule="auto"/>
        <w:jc w:val="both"/>
        <w:rPr>
          <w:rFonts w:ascii="Times New Roman" w:hAnsi="Times New Roman"/>
          <w:sz w:val="24"/>
          <w:szCs w:val="24"/>
        </w:rPr>
      </w:pPr>
    </w:p>
    <w:p w14:paraId="1CAA79AD" w14:textId="77777777" w:rsidR="00BB490E" w:rsidRDefault="00BB490E" w:rsidP="009B61D0">
      <w:pPr>
        <w:spacing w:after="0" w:line="240" w:lineRule="auto"/>
        <w:jc w:val="both"/>
        <w:rPr>
          <w:rFonts w:ascii="Times New Roman" w:hAnsi="Times New Roman"/>
          <w:sz w:val="24"/>
          <w:szCs w:val="24"/>
        </w:rPr>
      </w:pPr>
    </w:p>
    <w:p w14:paraId="03BFF403" w14:textId="09397B80" w:rsidR="009B61D0" w:rsidRPr="009B61D0" w:rsidRDefault="009B61D0" w:rsidP="009B61D0">
      <w:pPr>
        <w:spacing w:after="0" w:line="240" w:lineRule="auto"/>
        <w:jc w:val="both"/>
        <w:rPr>
          <w:rFonts w:ascii="Times New Roman" w:hAnsi="Times New Roman"/>
          <w:sz w:val="24"/>
          <w:szCs w:val="24"/>
        </w:rPr>
      </w:pPr>
      <w:r w:rsidRPr="009B61D0">
        <w:rPr>
          <w:rFonts w:ascii="Times New Roman" w:hAnsi="Times New Roman"/>
          <w:sz w:val="24"/>
          <w:szCs w:val="24"/>
        </w:rPr>
        <w:t>La reserva fue creada en el año 2014 para financiar el presupuesto de proyectos de inversión de dicha vigencia.</w:t>
      </w:r>
    </w:p>
    <w:p w14:paraId="40F1ED01" w14:textId="77777777" w:rsidR="0021148A" w:rsidRPr="009B61D0" w:rsidRDefault="0021148A" w:rsidP="009B61D0">
      <w:pPr>
        <w:spacing w:after="0" w:line="240" w:lineRule="auto"/>
        <w:jc w:val="both"/>
        <w:rPr>
          <w:rFonts w:ascii="Times New Roman" w:hAnsi="Times New Roman"/>
          <w:sz w:val="24"/>
          <w:szCs w:val="24"/>
        </w:rPr>
      </w:pPr>
    </w:p>
    <w:p w14:paraId="61976C7A" w14:textId="2B86658C" w:rsidR="00945BB4" w:rsidRPr="00E2373F" w:rsidRDefault="002E62CF" w:rsidP="00073315">
      <w:pPr>
        <w:pStyle w:val="Ttulo1"/>
      </w:pPr>
      <w:bookmarkStart w:id="99" w:name="_Toc99455365"/>
      <w:r w:rsidRPr="00E2373F">
        <w:t>NOTA 2</w:t>
      </w:r>
      <w:r w:rsidR="00D50670">
        <w:t>8</w:t>
      </w:r>
      <w:r w:rsidRPr="00E2373F">
        <w:t>. INGRESOS</w:t>
      </w:r>
      <w:bookmarkEnd w:id="99"/>
      <w:r w:rsidRPr="00E2373F">
        <w:t xml:space="preserve"> </w:t>
      </w:r>
    </w:p>
    <w:p w14:paraId="4FEFA6DE" w14:textId="0979B51C" w:rsidR="0071634E" w:rsidRPr="00E2373F" w:rsidRDefault="0071634E" w:rsidP="00667BC9">
      <w:pPr>
        <w:spacing w:after="0" w:line="240" w:lineRule="auto"/>
        <w:jc w:val="both"/>
        <w:rPr>
          <w:rFonts w:ascii="Times New Roman" w:hAnsi="Times New Roman"/>
          <w:b/>
          <w:sz w:val="24"/>
          <w:szCs w:val="24"/>
        </w:rPr>
      </w:pPr>
    </w:p>
    <w:p w14:paraId="37E18464" w14:textId="4B936243" w:rsidR="0071634E" w:rsidRPr="00366987" w:rsidRDefault="0071634E" w:rsidP="00413089">
      <w:pPr>
        <w:pStyle w:val="Ttulo2"/>
        <w:numPr>
          <w:ilvl w:val="0"/>
          <w:numId w:val="0"/>
        </w:numPr>
      </w:pPr>
      <w:bookmarkStart w:id="100" w:name="_Toc99455366"/>
      <w:r w:rsidRPr="00366987">
        <w:t>Composición</w:t>
      </w:r>
      <w:bookmarkEnd w:id="100"/>
    </w:p>
    <w:p w14:paraId="61A0BFD3" w14:textId="0DF215BF" w:rsidR="0071634E" w:rsidRDefault="0071634E" w:rsidP="00667BC9">
      <w:pPr>
        <w:spacing w:after="0" w:line="240" w:lineRule="auto"/>
        <w:jc w:val="both"/>
        <w:rPr>
          <w:rFonts w:ascii="Times New Roman" w:hAnsi="Times New Roman"/>
          <w:b/>
          <w:sz w:val="24"/>
          <w:szCs w:val="24"/>
        </w:rPr>
      </w:pPr>
    </w:p>
    <w:p w14:paraId="379F7D55" w14:textId="37416F9E" w:rsidR="00CD736E" w:rsidRPr="00CD736E" w:rsidRDefault="00CD736E" w:rsidP="00667BC9">
      <w:pPr>
        <w:spacing w:after="0" w:line="240" w:lineRule="auto"/>
        <w:jc w:val="both"/>
        <w:rPr>
          <w:rFonts w:ascii="Times New Roman" w:hAnsi="Times New Roman"/>
          <w:bCs/>
          <w:sz w:val="24"/>
          <w:szCs w:val="24"/>
        </w:rPr>
      </w:pPr>
      <w:r w:rsidRPr="00CD736E">
        <w:rPr>
          <w:rFonts w:ascii="Times New Roman" w:hAnsi="Times New Roman"/>
          <w:bCs/>
          <w:sz w:val="24"/>
          <w:szCs w:val="24"/>
        </w:rPr>
        <w:t xml:space="preserve">La desagregación de los ingresos presentados en el estado de resultado para los periodos contables terminados el </w:t>
      </w:r>
      <w:r w:rsidR="00B27577">
        <w:rPr>
          <w:rFonts w:ascii="Times New Roman" w:hAnsi="Times New Roman"/>
          <w:bCs/>
          <w:sz w:val="24"/>
          <w:szCs w:val="24"/>
        </w:rPr>
        <w:t>31/03/2022 y 31/03/2021</w:t>
      </w:r>
      <w:r w:rsidRPr="00CD736E">
        <w:rPr>
          <w:rFonts w:ascii="Times New Roman" w:hAnsi="Times New Roman"/>
          <w:bCs/>
          <w:sz w:val="24"/>
          <w:szCs w:val="24"/>
        </w:rPr>
        <w:t xml:space="preserve"> es la siguiente:</w:t>
      </w:r>
    </w:p>
    <w:p w14:paraId="521C09F7" w14:textId="39205BE2" w:rsidR="00EA35F9" w:rsidRDefault="00A21C32" w:rsidP="009C7F65">
      <w:pPr>
        <w:spacing w:after="0" w:line="240" w:lineRule="auto"/>
        <w:jc w:val="both"/>
        <w:rPr>
          <w:noProof/>
        </w:rPr>
      </w:pPr>
      <w:r w:rsidRPr="00A21C32">
        <w:rPr>
          <w:noProof/>
        </w:rPr>
        <w:drawing>
          <wp:anchor distT="0" distB="0" distL="114300" distR="114300" simplePos="0" relativeHeight="252746752" behindDoc="1" locked="0" layoutInCell="1" allowOverlap="1" wp14:anchorId="03150B31" wp14:editId="2FC97232">
            <wp:simplePos x="0" y="0"/>
            <wp:positionH relativeFrom="column">
              <wp:posOffset>0</wp:posOffset>
            </wp:positionH>
            <wp:positionV relativeFrom="paragraph">
              <wp:posOffset>40005</wp:posOffset>
            </wp:positionV>
            <wp:extent cx="5881370" cy="920750"/>
            <wp:effectExtent l="0" t="0" r="508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81370" cy="920750"/>
                    </a:xfrm>
                    <a:prstGeom prst="rect">
                      <a:avLst/>
                    </a:prstGeom>
                    <a:noFill/>
                    <a:ln>
                      <a:noFill/>
                    </a:ln>
                  </pic:spPr>
                </pic:pic>
              </a:graphicData>
            </a:graphic>
            <wp14:sizeRelV relativeFrom="margin">
              <wp14:pctHeight>0</wp14:pctHeight>
            </wp14:sizeRelV>
          </wp:anchor>
        </w:drawing>
      </w:r>
    </w:p>
    <w:p w14:paraId="47F4C756" w14:textId="6BC329E8" w:rsidR="00EA35F9" w:rsidRDefault="00EA35F9" w:rsidP="009C7F65">
      <w:pPr>
        <w:spacing w:after="0" w:line="240" w:lineRule="auto"/>
        <w:jc w:val="both"/>
        <w:rPr>
          <w:noProof/>
        </w:rPr>
      </w:pPr>
    </w:p>
    <w:p w14:paraId="743F830C" w14:textId="4502D4B0" w:rsidR="00EA35F9" w:rsidRDefault="00EA35F9" w:rsidP="009C7F65">
      <w:pPr>
        <w:spacing w:after="0" w:line="240" w:lineRule="auto"/>
        <w:jc w:val="both"/>
        <w:rPr>
          <w:noProof/>
        </w:rPr>
      </w:pPr>
    </w:p>
    <w:p w14:paraId="54934FF9" w14:textId="736FA228" w:rsidR="002B3B0E" w:rsidRPr="00CD736E" w:rsidRDefault="002B3B0E" w:rsidP="009C7F65">
      <w:pPr>
        <w:spacing w:after="0" w:line="240" w:lineRule="auto"/>
        <w:jc w:val="both"/>
        <w:rPr>
          <w:rFonts w:ascii="Times New Roman" w:hAnsi="Times New Roman"/>
          <w:bCs/>
          <w:sz w:val="24"/>
          <w:szCs w:val="24"/>
          <w:u w:val="single"/>
        </w:rPr>
      </w:pPr>
    </w:p>
    <w:p w14:paraId="415011C8" w14:textId="0DA5F089" w:rsidR="009C7F65" w:rsidRDefault="009C7F65" w:rsidP="009C7F65">
      <w:pPr>
        <w:spacing w:after="0" w:line="240" w:lineRule="auto"/>
        <w:jc w:val="both"/>
        <w:rPr>
          <w:rFonts w:ascii="Times New Roman" w:hAnsi="Times New Roman"/>
          <w:sz w:val="24"/>
          <w:szCs w:val="24"/>
          <w:u w:val="single"/>
        </w:rPr>
      </w:pPr>
    </w:p>
    <w:p w14:paraId="6589FC3C" w14:textId="7916E2DC" w:rsidR="009C7F65" w:rsidRDefault="00A21C32" w:rsidP="009C7F65">
      <w:pPr>
        <w:spacing w:after="0" w:line="240" w:lineRule="auto"/>
        <w:jc w:val="both"/>
        <w:rPr>
          <w:rFonts w:ascii="Times New Roman" w:hAnsi="Times New Roman"/>
          <w:sz w:val="24"/>
          <w:szCs w:val="24"/>
          <w:u w:val="single"/>
        </w:rPr>
      </w:pPr>
      <w:r w:rsidRPr="00A21C32">
        <w:rPr>
          <w:noProof/>
        </w:rPr>
        <w:drawing>
          <wp:anchor distT="0" distB="0" distL="114300" distR="114300" simplePos="0" relativeHeight="252747776" behindDoc="1" locked="0" layoutInCell="1" allowOverlap="1" wp14:anchorId="425198B0" wp14:editId="28704A33">
            <wp:simplePos x="0" y="0"/>
            <wp:positionH relativeFrom="column">
              <wp:posOffset>0</wp:posOffset>
            </wp:positionH>
            <wp:positionV relativeFrom="paragraph">
              <wp:posOffset>153670</wp:posOffset>
            </wp:positionV>
            <wp:extent cx="5881370" cy="1816100"/>
            <wp:effectExtent l="0" t="0" r="508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81370" cy="1816100"/>
                    </a:xfrm>
                    <a:prstGeom prst="rect">
                      <a:avLst/>
                    </a:prstGeom>
                    <a:noFill/>
                    <a:ln>
                      <a:noFill/>
                    </a:ln>
                  </pic:spPr>
                </pic:pic>
              </a:graphicData>
            </a:graphic>
            <wp14:sizeRelV relativeFrom="margin">
              <wp14:pctHeight>0</wp14:pctHeight>
            </wp14:sizeRelV>
          </wp:anchor>
        </w:drawing>
      </w:r>
    </w:p>
    <w:p w14:paraId="4CE84FCF" w14:textId="10B7DFF1" w:rsidR="009C7F65" w:rsidRDefault="009C7F65" w:rsidP="009C7F65">
      <w:pPr>
        <w:spacing w:after="0" w:line="240" w:lineRule="auto"/>
        <w:jc w:val="both"/>
        <w:rPr>
          <w:rFonts w:ascii="Times New Roman" w:hAnsi="Times New Roman"/>
          <w:sz w:val="24"/>
          <w:szCs w:val="24"/>
          <w:u w:val="single"/>
        </w:rPr>
      </w:pPr>
    </w:p>
    <w:p w14:paraId="28551772" w14:textId="760040CD" w:rsidR="00754A62" w:rsidRDefault="00754A62" w:rsidP="00667BC9">
      <w:pPr>
        <w:pStyle w:val="Prrafodelista"/>
        <w:spacing w:after="0" w:line="240" w:lineRule="auto"/>
        <w:ind w:left="0"/>
        <w:jc w:val="center"/>
        <w:rPr>
          <w:noProof/>
        </w:rPr>
      </w:pPr>
    </w:p>
    <w:p w14:paraId="269F9E4C" w14:textId="6A82275F" w:rsidR="004D1EC9" w:rsidRDefault="004D1EC9" w:rsidP="00667BC9">
      <w:pPr>
        <w:pStyle w:val="Prrafodelista"/>
        <w:spacing w:after="0" w:line="240" w:lineRule="auto"/>
        <w:ind w:left="0"/>
        <w:jc w:val="center"/>
        <w:rPr>
          <w:noProof/>
        </w:rPr>
      </w:pPr>
    </w:p>
    <w:p w14:paraId="758606FA" w14:textId="098A2562" w:rsidR="00754A62" w:rsidRDefault="00754A62" w:rsidP="00667BC9">
      <w:pPr>
        <w:pStyle w:val="Prrafodelista"/>
        <w:spacing w:after="0" w:line="240" w:lineRule="auto"/>
        <w:ind w:left="0"/>
        <w:jc w:val="center"/>
        <w:rPr>
          <w:noProof/>
        </w:rPr>
      </w:pPr>
    </w:p>
    <w:p w14:paraId="40274D17" w14:textId="181F86D2" w:rsidR="00754A62" w:rsidRDefault="00754A62" w:rsidP="00667BC9">
      <w:pPr>
        <w:pStyle w:val="Prrafodelista"/>
        <w:spacing w:after="0" w:line="240" w:lineRule="auto"/>
        <w:ind w:left="0"/>
        <w:jc w:val="center"/>
        <w:rPr>
          <w:noProof/>
        </w:rPr>
      </w:pPr>
    </w:p>
    <w:p w14:paraId="2E2AE14C" w14:textId="3E11F893" w:rsidR="00754A62" w:rsidRDefault="00754A62" w:rsidP="00667BC9">
      <w:pPr>
        <w:pStyle w:val="Prrafodelista"/>
        <w:spacing w:after="0" w:line="240" w:lineRule="auto"/>
        <w:ind w:left="0"/>
        <w:jc w:val="center"/>
        <w:rPr>
          <w:noProof/>
        </w:rPr>
      </w:pPr>
    </w:p>
    <w:p w14:paraId="561F6FD4" w14:textId="1ABB3BC1" w:rsidR="0071634E" w:rsidRDefault="0071634E" w:rsidP="00667BC9">
      <w:pPr>
        <w:pStyle w:val="Prrafodelista"/>
        <w:spacing w:after="0" w:line="240" w:lineRule="auto"/>
        <w:ind w:left="0"/>
        <w:jc w:val="center"/>
        <w:rPr>
          <w:rFonts w:ascii="Times New Roman" w:hAnsi="Times New Roman"/>
          <w:sz w:val="24"/>
          <w:szCs w:val="24"/>
        </w:rPr>
      </w:pPr>
    </w:p>
    <w:p w14:paraId="1BF009B9" w14:textId="5FBDD66F" w:rsidR="007A5E7D" w:rsidRDefault="007A5E7D" w:rsidP="00667BC9">
      <w:pPr>
        <w:pStyle w:val="Prrafodelista"/>
        <w:spacing w:after="0" w:line="240" w:lineRule="auto"/>
        <w:ind w:left="0"/>
        <w:jc w:val="center"/>
        <w:rPr>
          <w:rFonts w:ascii="Times New Roman" w:hAnsi="Times New Roman"/>
          <w:sz w:val="24"/>
          <w:szCs w:val="24"/>
        </w:rPr>
      </w:pPr>
    </w:p>
    <w:p w14:paraId="0253BCCC" w14:textId="119C5388" w:rsidR="007A5E7D" w:rsidRDefault="007A5E7D" w:rsidP="00667BC9">
      <w:pPr>
        <w:pStyle w:val="Prrafodelista"/>
        <w:spacing w:after="0" w:line="240" w:lineRule="auto"/>
        <w:ind w:left="0"/>
        <w:jc w:val="center"/>
        <w:rPr>
          <w:rFonts w:ascii="Times New Roman" w:hAnsi="Times New Roman"/>
          <w:sz w:val="24"/>
          <w:szCs w:val="24"/>
        </w:rPr>
      </w:pPr>
    </w:p>
    <w:p w14:paraId="353D5429" w14:textId="7815C00B" w:rsidR="007A5E7D" w:rsidRDefault="007A5E7D" w:rsidP="00667BC9">
      <w:pPr>
        <w:pStyle w:val="Prrafodelista"/>
        <w:spacing w:after="0" w:line="240" w:lineRule="auto"/>
        <w:ind w:left="0"/>
        <w:jc w:val="center"/>
        <w:rPr>
          <w:rFonts w:ascii="Times New Roman" w:hAnsi="Times New Roman"/>
          <w:sz w:val="24"/>
          <w:szCs w:val="24"/>
        </w:rPr>
      </w:pPr>
    </w:p>
    <w:p w14:paraId="23C25D21" w14:textId="136E4238" w:rsidR="0071634E" w:rsidRDefault="0071634E" w:rsidP="00425DA9">
      <w:pPr>
        <w:pStyle w:val="Ttulo2"/>
        <w:numPr>
          <w:ilvl w:val="1"/>
          <w:numId w:val="19"/>
        </w:numPr>
        <w:ind w:left="567" w:hanging="567"/>
      </w:pPr>
      <w:bookmarkStart w:id="101" w:name="_Toc99455367"/>
      <w:r w:rsidRPr="00366987">
        <w:lastRenderedPageBreak/>
        <w:t xml:space="preserve">Ingresos </w:t>
      </w:r>
      <w:r w:rsidR="00CE76E9">
        <w:t xml:space="preserve">por </w:t>
      </w:r>
      <w:r w:rsidR="00486F1F">
        <w:t>venta</w:t>
      </w:r>
      <w:r w:rsidR="00CE76E9">
        <w:t xml:space="preserve"> de servicios</w:t>
      </w:r>
      <w:r w:rsidR="00FE7FA4">
        <w:t xml:space="preserve"> (1)</w:t>
      </w:r>
      <w:bookmarkEnd w:id="101"/>
    </w:p>
    <w:p w14:paraId="6CB60625" w14:textId="40A2B5E3" w:rsidR="00146FB4" w:rsidRPr="00E2373F" w:rsidRDefault="00A21C32" w:rsidP="00667BC9">
      <w:pPr>
        <w:spacing w:after="0" w:line="240" w:lineRule="auto"/>
        <w:jc w:val="center"/>
        <w:rPr>
          <w:rFonts w:ascii="Times New Roman" w:hAnsi="Times New Roman"/>
          <w:sz w:val="24"/>
          <w:szCs w:val="24"/>
        </w:rPr>
      </w:pPr>
      <w:r w:rsidRPr="00A21C32">
        <w:rPr>
          <w:noProof/>
        </w:rPr>
        <w:drawing>
          <wp:anchor distT="0" distB="0" distL="114300" distR="114300" simplePos="0" relativeHeight="252748800" behindDoc="1" locked="0" layoutInCell="1" allowOverlap="1" wp14:anchorId="65476C9E" wp14:editId="13BEE1CB">
            <wp:simplePos x="0" y="0"/>
            <wp:positionH relativeFrom="column">
              <wp:posOffset>63500</wp:posOffset>
            </wp:positionH>
            <wp:positionV relativeFrom="paragraph">
              <wp:posOffset>72390</wp:posOffset>
            </wp:positionV>
            <wp:extent cx="5881370" cy="2607310"/>
            <wp:effectExtent l="0" t="0" r="5080" b="254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81370" cy="2607310"/>
                    </a:xfrm>
                    <a:prstGeom prst="rect">
                      <a:avLst/>
                    </a:prstGeom>
                    <a:noFill/>
                    <a:ln>
                      <a:noFill/>
                    </a:ln>
                  </pic:spPr>
                </pic:pic>
              </a:graphicData>
            </a:graphic>
          </wp:anchor>
        </w:drawing>
      </w:r>
    </w:p>
    <w:p w14:paraId="6627FFEE" w14:textId="0C0DAD1B" w:rsidR="00146FB4" w:rsidRDefault="00146FB4" w:rsidP="00667BC9">
      <w:pPr>
        <w:spacing w:after="0" w:line="240" w:lineRule="auto"/>
        <w:jc w:val="both"/>
        <w:rPr>
          <w:rFonts w:ascii="Times New Roman" w:hAnsi="Times New Roman"/>
          <w:sz w:val="24"/>
          <w:szCs w:val="24"/>
        </w:rPr>
      </w:pPr>
    </w:p>
    <w:p w14:paraId="01547754" w14:textId="5BC6791F" w:rsidR="00D266CD" w:rsidRDefault="00D266CD" w:rsidP="00667BC9">
      <w:pPr>
        <w:spacing w:after="0" w:line="240" w:lineRule="auto"/>
        <w:jc w:val="both"/>
        <w:rPr>
          <w:rFonts w:ascii="Times New Roman" w:hAnsi="Times New Roman"/>
          <w:sz w:val="24"/>
          <w:szCs w:val="24"/>
        </w:rPr>
      </w:pPr>
    </w:p>
    <w:p w14:paraId="62C6E891" w14:textId="03D4F98E" w:rsidR="00D266CD" w:rsidRDefault="00D266CD" w:rsidP="00667BC9">
      <w:pPr>
        <w:spacing w:after="0" w:line="240" w:lineRule="auto"/>
        <w:jc w:val="both"/>
        <w:rPr>
          <w:rFonts w:ascii="Times New Roman" w:hAnsi="Times New Roman"/>
          <w:sz w:val="24"/>
          <w:szCs w:val="24"/>
        </w:rPr>
      </w:pPr>
    </w:p>
    <w:p w14:paraId="1C76638D" w14:textId="032F8883" w:rsidR="00D266CD" w:rsidRDefault="00D266CD" w:rsidP="00667BC9">
      <w:pPr>
        <w:spacing w:after="0" w:line="240" w:lineRule="auto"/>
        <w:jc w:val="both"/>
        <w:rPr>
          <w:rFonts w:ascii="Times New Roman" w:hAnsi="Times New Roman"/>
          <w:sz w:val="24"/>
          <w:szCs w:val="24"/>
        </w:rPr>
      </w:pPr>
    </w:p>
    <w:p w14:paraId="0C25DE15" w14:textId="77777777" w:rsidR="00866EF9" w:rsidRDefault="00866EF9" w:rsidP="00DF70BD">
      <w:pPr>
        <w:spacing w:after="0" w:line="240" w:lineRule="auto"/>
        <w:jc w:val="both"/>
        <w:rPr>
          <w:rFonts w:ascii="Times New Roman" w:hAnsi="Times New Roman"/>
          <w:sz w:val="24"/>
          <w:szCs w:val="24"/>
        </w:rPr>
      </w:pPr>
    </w:p>
    <w:p w14:paraId="3FC8A51A" w14:textId="7D1ADF20" w:rsidR="00866EF9" w:rsidRDefault="00866EF9" w:rsidP="00DF70BD">
      <w:pPr>
        <w:spacing w:after="0" w:line="240" w:lineRule="auto"/>
        <w:jc w:val="both"/>
        <w:rPr>
          <w:rFonts w:ascii="Times New Roman" w:hAnsi="Times New Roman"/>
          <w:sz w:val="24"/>
          <w:szCs w:val="24"/>
        </w:rPr>
      </w:pPr>
    </w:p>
    <w:p w14:paraId="49916A86" w14:textId="21236DA2" w:rsidR="0060271A" w:rsidRDefault="0060271A" w:rsidP="00DF70BD">
      <w:pPr>
        <w:spacing w:after="0" w:line="240" w:lineRule="auto"/>
        <w:jc w:val="both"/>
        <w:rPr>
          <w:rFonts w:ascii="Times New Roman" w:hAnsi="Times New Roman"/>
          <w:sz w:val="24"/>
          <w:szCs w:val="24"/>
        </w:rPr>
      </w:pPr>
    </w:p>
    <w:p w14:paraId="66128A20" w14:textId="77777777" w:rsidR="00653187" w:rsidRDefault="00653187" w:rsidP="00DF70BD">
      <w:pPr>
        <w:spacing w:after="0" w:line="240" w:lineRule="auto"/>
        <w:jc w:val="both"/>
        <w:rPr>
          <w:rFonts w:ascii="Times New Roman" w:hAnsi="Times New Roman"/>
          <w:sz w:val="24"/>
          <w:szCs w:val="24"/>
        </w:rPr>
      </w:pPr>
    </w:p>
    <w:p w14:paraId="1844CF00" w14:textId="77777777" w:rsidR="0021148A" w:rsidRDefault="0021148A" w:rsidP="00DF70BD">
      <w:pPr>
        <w:spacing w:after="0" w:line="240" w:lineRule="auto"/>
        <w:jc w:val="both"/>
        <w:rPr>
          <w:rFonts w:ascii="Times New Roman" w:hAnsi="Times New Roman"/>
          <w:sz w:val="24"/>
          <w:szCs w:val="24"/>
        </w:rPr>
      </w:pPr>
    </w:p>
    <w:p w14:paraId="1D4A2671" w14:textId="77777777" w:rsidR="0021148A" w:rsidRDefault="0021148A" w:rsidP="00DF70BD">
      <w:pPr>
        <w:spacing w:after="0" w:line="240" w:lineRule="auto"/>
        <w:jc w:val="both"/>
        <w:rPr>
          <w:rFonts w:ascii="Times New Roman" w:hAnsi="Times New Roman"/>
          <w:sz w:val="24"/>
          <w:szCs w:val="24"/>
        </w:rPr>
      </w:pPr>
    </w:p>
    <w:p w14:paraId="763BCE6A" w14:textId="6EF88E25" w:rsidR="0021148A" w:rsidRDefault="0021148A" w:rsidP="00DF70BD">
      <w:pPr>
        <w:spacing w:after="0" w:line="240" w:lineRule="auto"/>
        <w:jc w:val="both"/>
        <w:rPr>
          <w:rFonts w:ascii="Times New Roman" w:hAnsi="Times New Roman"/>
          <w:sz w:val="24"/>
          <w:szCs w:val="24"/>
        </w:rPr>
      </w:pPr>
    </w:p>
    <w:p w14:paraId="50720578" w14:textId="1FE0697A" w:rsidR="00A21C32" w:rsidRDefault="00A21C32" w:rsidP="00DF70BD">
      <w:pPr>
        <w:spacing w:after="0" w:line="240" w:lineRule="auto"/>
        <w:jc w:val="both"/>
        <w:rPr>
          <w:rFonts w:ascii="Times New Roman" w:hAnsi="Times New Roman"/>
          <w:sz w:val="24"/>
          <w:szCs w:val="24"/>
        </w:rPr>
      </w:pPr>
    </w:p>
    <w:p w14:paraId="7F3B26DD" w14:textId="1B4ED94F" w:rsidR="00A21C32" w:rsidRDefault="00A21C32" w:rsidP="00DF70BD">
      <w:pPr>
        <w:spacing w:after="0" w:line="240" w:lineRule="auto"/>
        <w:jc w:val="both"/>
        <w:rPr>
          <w:rFonts w:ascii="Times New Roman" w:hAnsi="Times New Roman"/>
          <w:sz w:val="24"/>
          <w:szCs w:val="24"/>
        </w:rPr>
      </w:pPr>
    </w:p>
    <w:p w14:paraId="3AF36A44" w14:textId="27407FE2" w:rsidR="00A21C32" w:rsidRDefault="00A21C32" w:rsidP="00DF70BD">
      <w:pPr>
        <w:spacing w:after="0" w:line="240" w:lineRule="auto"/>
        <w:jc w:val="both"/>
        <w:rPr>
          <w:rFonts w:ascii="Times New Roman" w:hAnsi="Times New Roman"/>
          <w:sz w:val="24"/>
          <w:szCs w:val="24"/>
        </w:rPr>
      </w:pPr>
    </w:p>
    <w:p w14:paraId="7076B805" w14:textId="77777777" w:rsidR="00A21C32" w:rsidRDefault="00A21C32" w:rsidP="00DF70BD">
      <w:pPr>
        <w:spacing w:after="0" w:line="240" w:lineRule="auto"/>
        <w:jc w:val="both"/>
        <w:rPr>
          <w:rFonts w:ascii="Times New Roman" w:hAnsi="Times New Roman"/>
          <w:sz w:val="24"/>
          <w:szCs w:val="24"/>
        </w:rPr>
      </w:pPr>
    </w:p>
    <w:p w14:paraId="1FB2710C" w14:textId="548BAFBB" w:rsidR="00DF70BD" w:rsidRPr="00DF70BD" w:rsidRDefault="00FE7FA4" w:rsidP="00DF70BD">
      <w:pPr>
        <w:spacing w:after="0" w:line="240" w:lineRule="auto"/>
        <w:jc w:val="both"/>
        <w:rPr>
          <w:rFonts w:ascii="Times New Roman" w:hAnsi="Times New Roman"/>
          <w:sz w:val="24"/>
          <w:szCs w:val="24"/>
        </w:rPr>
      </w:pPr>
      <w:r>
        <w:rPr>
          <w:rFonts w:ascii="Times New Roman" w:hAnsi="Times New Roman"/>
          <w:sz w:val="24"/>
          <w:szCs w:val="24"/>
        </w:rPr>
        <w:t xml:space="preserve">(1) </w:t>
      </w:r>
      <w:r w:rsidR="00DF70BD" w:rsidRPr="00DF70BD">
        <w:rPr>
          <w:rFonts w:ascii="Times New Roman" w:hAnsi="Times New Roman"/>
          <w:sz w:val="24"/>
          <w:szCs w:val="24"/>
        </w:rPr>
        <w:t xml:space="preserve">Los ingresos corresponden principalmente a los recaudos por tarifas autorizadas en las leyes 635 de 2000 y 1324 de 2009 por los exámenes de Pruebas Saber Pro, Saber T &amp; T, Pruebas Saber 11, </w:t>
      </w:r>
      <w:r w:rsidR="00201461">
        <w:rPr>
          <w:rFonts w:ascii="Times New Roman" w:hAnsi="Times New Roman"/>
          <w:sz w:val="24"/>
          <w:szCs w:val="24"/>
        </w:rPr>
        <w:t>Saber 3, 5</w:t>
      </w:r>
      <w:r w:rsidR="00A21C32">
        <w:rPr>
          <w:rFonts w:ascii="Times New Roman" w:hAnsi="Times New Roman"/>
          <w:sz w:val="24"/>
          <w:szCs w:val="24"/>
        </w:rPr>
        <w:t xml:space="preserve">, 7 </w:t>
      </w:r>
      <w:r w:rsidR="00201461">
        <w:rPr>
          <w:rFonts w:ascii="Times New Roman" w:hAnsi="Times New Roman"/>
          <w:sz w:val="24"/>
          <w:szCs w:val="24"/>
        </w:rPr>
        <w:t xml:space="preserve">y 9, </w:t>
      </w:r>
      <w:r w:rsidR="00DF70BD" w:rsidRPr="00DF70BD">
        <w:rPr>
          <w:rFonts w:ascii="Times New Roman" w:hAnsi="Times New Roman"/>
          <w:sz w:val="24"/>
          <w:szCs w:val="24"/>
        </w:rPr>
        <w:t>Pruebas Pre Saber 11 y contratos con otras Entidades Públicas (INPEC, SENA, Policía Nacional, SHD y MEN).  Este rubro representa los flujos de entrada de recursos generados por la entidad, susceptibles de incrementar el patrimonio durante el período contable, por aumento de activos o por disminución de pasivos en el desarrollo de su actividad.</w:t>
      </w:r>
    </w:p>
    <w:p w14:paraId="1BA796BA" w14:textId="1F32CBE4" w:rsidR="00DF70BD" w:rsidRDefault="00DF70BD" w:rsidP="00DF70BD">
      <w:pPr>
        <w:spacing w:after="0" w:line="240" w:lineRule="auto"/>
        <w:jc w:val="both"/>
        <w:rPr>
          <w:rFonts w:ascii="Times New Roman" w:hAnsi="Times New Roman"/>
          <w:sz w:val="24"/>
          <w:szCs w:val="24"/>
        </w:rPr>
      </w:pPr>
    </w:p>
    <w:p w14:paraId="51625BF5" w14:textId="2130D0F6" w:rsidR="005B5001" w:rsidRDefault="001F42E3" w:rsidP="005B5001">
      <w:pPr>
        <w:spacing w:after="0" w:line="240" w:lineRule="auto"/>
        <w:jc w:val="both"/>
        <w:rPr>
          <w:rFonts w:ascii="Times New Roman" w:hAnsi="Times New Roman"/>
          <w:sz w:val="24"/>
          <w:szCs w:val="24"/>
        </w:rPr>
      </w:pPr>
      <w:r>
        <w:rPr>
          <w:rFonts w:ascii="Times New Roman" w:hAnsi="Times New Roman"/>
          <w:sz w:val="24"/>
          <w:szCs w:val="24"/>
        </w:rPr>
        <w:t>Par</w:t>
      </w:r>
      <w:r w:rsidR="00043721">
        <w:rPr>
          <w:rFonts w:ascii="Times New Roman" w:hAnsi="Times New Roman"/>
          <w:sz w:val="24"/>
          <w:szCs w:val="24"/>
        </w:rPr>
        <w:t>a</w:t>
      </w:r>
      <w:r w:rsidR="007831C9">
        <w:rPr>
          <w:rFonts w:ascii="Times New Roman" w:hAnsi="Times New Roman"/>
          <w:sz w:val="24"/>
          <w:szCs w:val="24"/>
        </w:rPr>
        <w:t xml:space="preserve"> </w:t>
      </w:r>
      <w:r w:rsidR="00432519">
        <w:rPr>
          <w:rFonts w:ascii="Times New Roman" w:hAnsi="Times New Roman"/>
          <w:sz w:val="24"/>
          <w:szCs w:val="24"/>
        </w:rPr>
        <w:t>marzo 2022</w:t>
      </w:r>
      <w:r>
        <w:rPr>
          <w:rFonts w:ascii="Times New Roman" w:hAnsi="Times New Roman"/>
          <w:sz w:val="24"/>
          <w:szCs w:val="24"/>
        </w:rPr>
        <w:t xml:space="preserve"> se mantiene </w:t>
      </w:r>
      <w:r w:rsidR="005B5001" w:rsidRPr="005B5001">
        <w:rPr>
          <w:rFonts w:ascii="Times New Roman" w:hAnsi="Times New Roman"/>
          <w:sz w:val="24"/>
          <w:szCs w:val="24"/>
        </w:rPr>
        <w:t>la emergencia sanitaria COVID -19</w:t>
      </w:r>
      <w:r w:rsidR="00422F59">
        <w:rPr>
          <w:rFonts w:ascii="Times New Roman" w:hAnsi="Times New Roman"/>
          <w:sz w:val="24"/>
          <w:szCs w:val="24"/>
        </w:rPr>
        <w:t>;</w:t>
      </w:r>
      <w:r w:rsidR="005B5001" w:rsidRPr="005B5001">
        <w:rPr>
          <w:rFonts w:ascii="Times New Roman" w:hAnsi="Times New Roman"/>
          <w:sz w:val="24"/>
          <w:szCs w:val="24"/>
        </w:rPr>
        <w:t xml:space="preserve"> </w:t>
      </w:r>
      <w:r w:rsidR="00422F59">
        <w:rPr>
          <w:rFonts w:ascii="Times New Roman" w:hAnsi="Times New Roman"/>
          <w:sz w:val="24"/>
          <w:szCs w:val="24"/>
        </w:rPr>
        <w:t xml:space="preserve">la entidad </w:t>
      </w:r>
      <w:r w:rsidR="00ED5846">
        <w:rPr>
          <w:rFonts w:ascii="Times New Roman" w:hAnsi="Times New Roman"/>
          <w:sz w:val="24"/>
          <w:szCs w:val="24"/>
        </w:rPr>
        <w:t>gener</w:t>
      </w:r>
      <w:r w:rsidR="006B4F63">
        <w:rPr>
          <w:rFonts w:ascii="Times New Roman" w:hAnsi="Times New Roman"/>
          <w:sz w:val="24"/>
          <w:szCs w:val="24"/>
        </w:rPr>
        <w:t>ó</w:t>
      </w:r>
      <w:r w:rsidR="00ED5846">
        <w:rPr>
          <w:rFonts w:ascii="Times New Roman" w:hAnsi="Times New Roman"/>
          <w:sz w:val="24"/>
          <w:szCs w:val="24"/>
        </w:rPr>
        <w:t xml:space="preserve"> ingresos </w:t>
      </w:r>
      <w:r w:rsidR="007056AB">
        <w:rPr>
          <w:rFonts w:ascii="Times New Roman" w:hAnsi="Times New Roman"/>
          <w:sz w:val="24"/>
          <w:szCs w:val="24"/>
        </w:rPr>
        <w:t>por $</w:t>
      </w:r>
      <w:r w:rsidR="00A21C32">
        <w:rPr>
          <w:rFonts w:ascii="Times New Roman" w:hAnsi="Times New Roman"/>
          <w:sz w:val="24"/>
          <w:szCs w:val="24"/>
        </w:rPr>
        <w:t>30</w:t>
      </w:r>
      <w:r w:rsidR="00ED2BA5">
        <w:rPr>
          <w:rFonts w:ascii="Times New Roman" w:hAnsi="Times New Roman"/>
          <w:sz w:val="24"/>
          <w:szCs w:val="24"/>
        </w:rPr>
        <w:t>.</w:t>
      </w:r>
      <w:r w:rsidR="00A21C32">
        <w:rPr>
          <w:rFonts w:ascii="Times New Roman" w:hAnsi="Times New Roman"/>
          <w:sz w:val="24"/>
          <w:szCs w:val="24"/>
        </w:rPr>
        <w:t>393</w:t>
      </w:r>
      <w:r w:rsidR="00422F59">
        <w:rPr>
          <w:rFonts w:ascii="Times New Roman" w:hAnsi="Times New Roman"/>
          <w:sz w:val="24"/>
          <w:szCs w:val="24"/>
        </w:rPr>
        <w:t>.</w:t>
      </w:r>
      <w:r w:rsidR="00A21C32">
        <w:rPr>
          <w:rFonts w:ascii="Times New Roman" w:hAnsi="Times New Roman"/>
          <w:sz w:val="24"/>
          <w:szCs w:val="24"/>
        </w:rPr>
        <w:t>918</w:t>
      </w:r>
      <w:r w:rsidR="00D03319">
        <w:rPr>
          <w:rFonts w:ascii="Times New Roman" w:hAnsi="Times New Roman"/>
          <w:sz w:val="24"/>
          <w:szCs w:val="24"/>
        </w:rPr>
        <w:t>.</w:t>
      </w:r>
      <w:r w:rsidR="00A21C32">
        <w:rPr>
          <w:rFonts w:ascii="Times New Roman" w:hAnsi="Times New Roman"/>
          <w:sz w:val="24"/>
          <w:szCs w:val="24"/>
        </w:rPr>
        <w:t>971</w:t>
      </w:r>
      <w:r w:rsidR="00DC1A58">
        <w:rPr>
          <w:rFonts w:ascii="Times New Roman" w:hAnsi="Times New Roman"/>
          <w:sz w:val="24"/>
          <w:szCs w:val="24"/>
        </w:rPr>
        <w:t>;</w:t>
      </w:r>
      <w:r w:rsidR="00422F59">
        <w:rPr>
          <w:rFonts w:ascii="Times New Roman" w:hAnsi="Times New Roman"/>
          <w:sz w:val="24"/>
          <w:szCs w:val="24"/>
        </w:rPr>
        <w:t xml:space="preserve"> debido principalmente al recaudo de las Pruebas Saber 11</w:t>
      </w:r>
      <w:r w:rsidR="00557102">
        <w:rPr>
          <w:rFonts w:ascii="Times New Roman" w:hAnsi="Times New Roman"/>
          <w:sz w:val="24"/>
          <w:szCs w:val="24"/>
        </w:rPr>
        <w:t xml:space="preserve"> </w:t>
      </w:r>
      <w:r w:rsidR="00FF05A7">
        <w:rPr>
          <w:rFonts w:ascii="Times New Roman" w:hAnsi="Times New Roman"/>
          <w:sz w:val="24"/>
          <w:szCs w:val="24"/>
        </w:rPr>
        <w:t>B</w:t>
      </w:r>
      <w:r w:rsidR="00A21C32">
        <w:rPr>
          <w:rFonts w:ascii="Times New Roman" w:hAnsi="Times New Roman"/>
          <w:sz w:val="24"/>
          <w:szCs w:val="24"/>
        </w:rPr>
        <w:t>, Examen T y T Primer semestre</w:t>
      </w:r>
      <w:r w:rsidR="0021148A">
        <w:rPr>
          <w:rFonts w:ascii="Times New Roman" w:hAnsi="Times New Roman"/>
          <w:sz w:val="24"/>
          <w:szCs w:val="24"/>
        </w:rPr>
        <w:t xml:space="preserve"> y Prueba Saber 3,</w:t>
      </w:r>
      <w:r w:rsidR="00A21C32">
        <w:rPr>
          <w:rFonts w:ascii="Times New Roman" w:hAnsi="Times New Roman"/>
          <w:sz w:val="24"/>
          <w:szCs w:val="24"/>
        </w:rPr>
        <w:t xml:space="preserve"> </w:t>
      </w:r>
      <w:r w:rsidR="0021148A">
        <w:rPr>
          <w:rFonts w:ascii="Times New Roman" w:hAnsi="Times New Roman"/>
          <w:sz w:val="24"/>
          <w:szCs w:val="24"/>
        </w:rPr>
        <w:t>5,</w:t>
      </w:r>
      <w:r w:rsidR="00A21C32">
        <w:rPr>
          <w:rFonts w:ascii="Times New Roman" w:hAnsi="Times New Roman"/>
          <w:sz w:val="24"/>
          <w:szCs w:val="24"/>
        </w:rPr>
        <w:t xml:space="preserve"> </w:t>
      </w:r>
      <w:r w:rsidR="0021148A">
        <w:rPr>
          <w:rFonts w:ascii="Times New Roman" w:hAnsi="Times New Roman"/>
          <w:sz w:val="24"/>
          <w:szCs w:val="24"/>
        </w:rPr>
        <w:t>7 y 9</w:t>
      </w:r>
      <w:r w:rsidR="00FA66DD">
        <w:rPr>
          <w:rFonts w:ascii="Times New Roman" w:hAnsi="Times New Roman"/>
          <w:sz w:val="24"/>
          <w:szCs w:val="24"/>
        </w:rPr>
        <w:t>.</w:t>
      </w:r>
    </w:p>
    <w:p w14:paraId="7953FA4A" w14:textId="2C298AE1" w:rsidR="00D73382" w:rsidRPr="005B5001" w:rsidRDefault="00D73382" w:rsidP="005B5001">
      <w:pPr>
        <w:spacing w:after="0" w:line="240" w:lineRule="auto"/>
        <w:jc w:val="both"/>
        <w:rPr>
          <w:rFonts w:ascii="Times New Roman" w:hAnsi="Times New Roman"/>
          <w:sz w:val="24"/>
          <w:szCs w:val="24"/>
        </w:rPr>
      </w:pPr>
    </w:p>
    <w:p w14:paraId="651AFAB6" w14:textId="23770D5B" w:rsidR="0071634E" w:rsidRDefault="00A25EEE" w:rsidP="005B5001">
      <w:pPr>
        <w:spacing w:after="0" w:line="240" w:lineRule="auto"/>
        <w:jc w:val="both"/>
        <w:rPr>
          <w:rFonts w:ascii="Times New Roman" w:hAnsi="Times New Roman"/>
          <w:sz w:val="24"/>
          <w:szCs w:val="24"/>
        </w:rPr>
      </w:pPr>
      <w:r w:rsidRPr="00A25EEE">
        <w:rPr>
          <w:rFonts w:ascii="Times New Roman" w:hAnsi="Times New Roman"/>
          <w:sz w:val="24"/>
          <w:szCs w:val="24"/>
        </w:rPr>
        <w:t>El manejo de esta coyuntura ha obligado a la entidad a adoptar mecanismos para garantizar la realización de las pruebas Saber, para ello se seguirán implementando medidas que sur</w:t>
      </w:r>
      <w:r w:rsidR="006B4F63">
        <w:rPr>
          <w:rFonts w:ascii="Times New Roman" w:hAnsi="Times New Roman"/>
          <w:sz w:val="24"/>
          <w:szCs w:val="24"/>
        </w:rPr>
        <w:t>t</w:t>
      </w:r>
      <w:r w:rsidRPr="00A25EEE">
        <w:rPr>
          <w:rFonts w:ascii="Times New Roman" w:hAnsi="Times New Roman"/>
          <w:sz w:val="24"/>
          <w:szCs w:val="24"/>
        </w:rPr>
        <w:t>ieron efecto durante el año 202</w:t>
      </w:r>
      <w:r w:rsidR="00C91A80">
        <w:rPr>
          <w:rFonts w:ascii="Times New Roman" w:hAnsi="Times New Roman"/>
          <w:sz w:val="24"/>
          <w:szCs w:val="24"/>
        </w:rPr>
        <w:t>1</w:t>
      </w:r>
      <w:r w:rsidRPr="00A25EEE">
        <w:rPr>
          <w:rFonts w:ascii="Times New Roman" w:hAnsi="Times New Roman"/>
          <w:sz w:val="24"/>
          <w:szCs w:val="24"/>
        </w:rPr>
        <w:t>, como es la aplicación de las pruebas de manera virtual como presencialmente.</w:t>
      </w:r>
    </w:p>
    <w:p w14:paraId="6714FEC5" w14:textId="1A7CCC2B" w:rsidR="00DF70BD" w:rsidRDefault="00DF70BD" w:rsidP="00DF70BD">
      <w:pPr>
        <w:spacing w:after="0" w:line="240" w:lineRule="auto"/>
        <w:jc w:val="both"/>
        <w:rPr>
          <w:rFonts w:ascii="Times New Roman" w:hAnsi="Times New Roman"/>
          <w:sz w:val="24"/>
          <w:szCs w:val="24"/>
        </w:rPr>
      </w:pPr>
    </w:p>
    <w:p w14:paraId="6EF80143" w14:textId="65CBECFD" w:rsidR="008C2A9F" w:rsidRDefault="008C2A9F" w:rsidP="008C2A9F">
      <w:pPr>
        <w:pStyle w:val="Ttulo2"/>
        <w:numPr>
          <w:ilvl w:val="1"/>
          <w:numId w:val="19"/>
        </w:numPr>
        <w:ind w:left="567" w:hanging="567"/>
      </w:pPr>
      <w:r>
        <w:t>Otros ingresos (2)</w:t>
      </w:r>
    </w:p>
    <w:p w14:paraId="31CF18E1" w14:textId="289C2B4C" w:rsidR="007B1D04" w:rsidRDefault="008C2A9F" w:rsidP="00DF70BD">
      <w:pPr>
        <w:spacing w:after="0" w:line="240" w:lineRule="auto"/>
        <w:jc w:val="both"/>
        <w:rPr>
          <w:noProof/>
        </w:rPr>
      </w:pPr>
      <w:r w:rsidRPr="008C2A9F">
        <w:rPr>
          <w:noProof/>
        </w:rPr>
        <w:drawing>
          <wp:anchor distT="0" distB="0" distL="114300" distR="114300" simplePos="0" relativeHeight="252749824" behindDoc="1" locked="0" layoutInCell="1" allowOverlap="1" wp14:anchorId="1CC1FD40" wp14:editId="307E66E3">
            <wp:simplePos x="0" y="0"/>
            <wp:positionH relativeFrom="column">
              <wp:posOffset>0</wp:posOffset>
            </wp:positionH>
            <wp:positionV relativeFrom="paragraph">
              <wp:posOffset>60325</wp:posOffset>
            </wp:positionV>
            <wp:extent cx="5881370" cy="1261745"/>
            <wp:effectExtent l="0" t="0" r="508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81370" cy="1261745"/>
                    </a:xfrm>
                    <a:prstGeom prst="rect">
                      <a:avLst/>
                    </a:prstGeom>
                    <a:noFill/>
                    <a:ln>
                      <a:noFill/>
                    </a:ln>
                  </pic:spPr>
                </pic:pic>
              </a:graphicData>
            </a:graphic>
          </wp:anchor>
        </w:drawing>
      </w:r>
    </w:p>
    <w:p w14:paraId="7D82E0B5" w14:textId="73268A7F" w:rsidR="00ED2BA5" w:rsidRDefault="00ED2BA5" w:rsidP="00DF70BD">
      <w:pPr>
        <w:spacing w:after="0" w:line="240" w:lineRule="auto"/>
        <w:jc w:val="both"/>
        <w:rPr>
          <w:noProof/>
          <w:lang w:eastAsia="es-CO"/>
        </w:rPr>
      </w:pPr>
    </w:p>
    <w:p w14:paraId="1019B51B" w14:textId="0EA05AC9" w:rsidR="00351A65" w:rsidRDefault="00351A65" w:rsidP="00DF70BD">
      <w:pPr>
        <w:spacing w:after="0" w:line="240" w:lineRule="auto"/>
        <w:jc w:val="both"/>
        <w:rPr>
          <w:rFonts w:ascii="Times New Roman" w:hAnsi="Times New Roman"/>
          <w:sz w:val="24"/>
          <w:szCs w:val="24"/>
        </w:rPr>
      </w:pPr>
    </w:p>
    <w:p w14:paraId="30A64822" w14:textId="7B8A89D3" w:rsidR="001B59DD" w:rsidRDefault="001B59DD" w:rsidP="00DF70BD">
      <w:pPr>
        <w:spacing w:after="0" w:line="240" w:lineRule="auto"/>
        <w:jc w:val="both"/>
        <w:rPr>
          <w:rFonts w:ascii="Times New Roman" w:hAnsi="Times New Roman"/>
          <w:sz w:val="24"/>
          <w:szCs w:val="24"/>
        </w:rPr>
      </w:pPr>
    </w:p>
    <w:p w14:paraId="4867B82B" w14:textId="3CA3054A" w:rsidR="007B1D04" w:rsidRDefault="007B1D04" w:rsidP="00DF70BD">
      <w:pPr>
        <w:spacing w:after="0" w:line="240" w:lineRule="auto"/>
        <w:jc w:val="both"/>
        <w:rPr>
          <w:rFonts w:ascii="Times New Roman" w:hAnsi="Times New Roman"/>
          <w:sz w:val="24"/>
          <w:szCs w:val="24"/>
        </w:rPr>
      </w:pPr>
    </w:p>
    <w:p w14:paraId="0250BA21" w14:textId="6B738F1D" w:rsidR="007B1D04" w:rsidRDefault="007B1D04" w:rsidP="00DF70BD">
      <w:pPr>
        <w:spacing w:after="0" w:line="240" w:lineRule="auto"/>
        <w:jc w:val="both"/>
        <w:rPr>
          <w:rFonts w:ascii="Times New Roman" w:hAnsi="Times New Roman"/>
          <w:sz w:val="24"/>
          <w:szCs w:val="24"/>
        </w:rPr>
      </w:pPr>
    </w:p>
    <w:p w14:paraId="4082D8DA" w14:textId="482BF936" w:rsidR="007B1D04" w:rsidRDefault="007B1D04" w:rsidP="00DF70BD">
      <w:pPr>
        <w:spacing w:after="0" w:line="240" w:lineRule="auto"/>
        <w:jc w:val="both"/>
        <w:rPr>
          <w:rFonts w:ascii="Times New Roman" w:hAnsi="Times New Roman"/>
          <w:sz w:val="24"/>
          <w:szCs w:val="24"/>
        </w:rPr>
      </w:pPr>
    </w:p>
    <w:p w14:paraId="6F287D93" w14:textId="1679DCAE" w:rsidR="00036BDE" w:rsidRDefault="00036BDE" w:rsidP="00DF70BD">
      <w:pPr>
        <w:spacing w:after="0" w:line="240" w:lineRule="auto"/>
        <w:jc w:val="both"/>
        <w:rPr>
          <w:rFonts w:ascii="Times New Roman" w:hAnsi="Times New Roman"/>
          <w:sz w:val="24"/>
          <w:szCs w:val="24"/>
        </w:rPr>
      </w:pPr>
    </w:p>
    <w:p w14:paraId="46709258" w14:textId="77777777" w:rsidR="008C2A9F" w:rsidRDefault="008C2A9F" w:rsidP="008C2A9F">
      <w:pPr>
        <w:spacing w:after="0" w:line="240" w:lineRule="auto"/>
        <w:jc w:val="both"/>
        <w:rPr>
          <w:rFonts w:ascii="Times New Roman" w:hAnsi="Times New Roman"/>
          <w:sz w:val="24"/>
          <w:szCs w:val="24"/>
        </w:rPr>
      </w:pPr>
      <w:r>
        <w:rPr>
          <w:rFonts w:ascii="Times New Roman" w:hAnsi="Times New Roman"/>
          <w:sz w:val="24"/>
          <w:szCs w:val="24"/>
        </w:rPr>
        <w:t xml:space="preserve">(2) Ingresos financieros. </w:t>
      </w:r>
      <w:r w:rsidRPr="004E2A74">
        <w:rPr>
          <w:rFonts w:ascii="Times New Roman" w:hAnsi="Times New Roman"/>
          <w:sz w:val="24"/>
          <w:szCs w:val="24"/>
        </w:rPr>
        <w:t xml:space="preserve">Este rubro corresponde a los intereses sobre rendimientos financieros generados de las cuentas de ahorro, </w:t>
      </w:r>
      <w:r>
        <w:rPr>
          <w:rFonts w:ascii="Times New Roman" w:hAnsi="Times New Roman"/>
          <w:sz w:val="24"/>
          <w:szCs w:val="24"/>
        </w:rPr>
        <w:t xml:space="preserve">Fondos de Inversión Colectiva FIC, las </w:t>
      </w:r>
      <w:r w:rsidRPr="004E2A74">
        <w:rPr>
          <w:rFonts w:ascii="Times New Roman" w:hAnsi="Times New Roman"/>
          <w:sz w:val="24"/>
          <w:szCs w:val="24"/>
        </w:rPr>
        <w:t>inversiones en TES y CDTs medidos al costo amortizado.</w:t>
      </w:r>
    </w:p>
    <w:p w14:paraId="5C13BD7A" w14:textId="7C58C8FC" w:rsidR="008C2A9F" w:rsidRDefault="008C2A9F" w:rsidP="00DF70BD">
      <w:pPr>
        <w:spacing w:after="0" w:line="240" w:lineRule="auto"/>
        <w:jc w:val="both"/>
        <w:rPr>
          <w:rFonts w:ascii="Times New Roman" w:hAnsi="Times New Roman"/>
          <w:sz w:val="24"/>
          <w:szCs w:val="24"/>
        </w:rPr>
      </w:pPr>
    </w:p>
    <w:p w14:paraId="75235950" w14:textId="6826564F" w:rsidR="008C2A9F" w:rsidRDefault="008C2A9F" w:rsidP="00DF70BD">
      <w:pPr>
        <w:spacing w:after="0" w:line="240" w:lineRule="auto"/>
        <w:jc w:val="both"/>
        <w:rPr>
          <w:rFonts w:ascii="Times New Roman" w:hAnsi="Times New Roman"/>
          <w:sz w:val="24"/>
          <w:szCs w:val="24"/>
        </w:rPr>
      </w:pPr>
    </w:p>
    <w:p w14:paraId="2688DBE0" w14:textId="7B0327C2" w:rsidR="008C2A9F" w:rsidRDefault="008C2A9F" w:rsidP="008C2A9F">
      <w:pPr>
        <w:pStyle w:val="Ttulo2"/>
        <w:numPr>
          <w:ilvl w:val="1"/>
          <w:numId w:val="19"/>
        </w:numPr>
        <w:ind w:left="567" w:hanging="567"/>
      </w:pPr>
      <w:r>
        <w:lastRenderedPageBreak/>
        <w:t>Ingresos diversos (3)</w:t>
      </w:r>
    </w:p>
    <w:p w14:paraId="7024BC72" w14:textId="58A3F72F" w:rsidR="00AE4086" w:rsidRDefault="00FE287F" w:rsidP="00DF70BD">
      <w:pPr>
        <w:spacing w:after="0" w:line="240" w:lineRule="auto"/>
        <w:jc w:val="both"/>
        <w:rPr>
          <w:rFonts w:ascii="Times New Roman" w:hAnsi="Times New Roman"/>
          <w:sz w:val="24"/>
          <w:szCs w:val="24"/>
        </w:rPr>
      </w:pPr>
      <w:r w:rsidRPr="00FE287F">
        <w:rPr>
          <w:noProof/>
        </w:rPr>
        <w:drawing>
          <wp:anchor distT="0" distB="0" distL="114300" distR="114300" simplePos="0" relativeHeight="252750848" behindDoc="1" locked="0" layoutInCell="1" allowOverlap="1" wp14:anchorId="4380AB25" wp14:editId="3DCAF335">
            <wp:simplePos x="0" y="0"/>
            <wp:positionH relativeFrom="column">
              <wp:posOffset>0</wp:posOffset>
            </wp:positionH>
            <wp:positionV relativeFrom="paragraph">
              <wp:posOffset>123190</wp:posOffset>
            </wp:positionV>
            <wp:extent cx="5881370" cy="1570990"/>
            <wp:effectExtent l="0" t="0" r="5080"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81370" cy="1570990"/>
                    </a:xfrm>
                    <a:prstGeom prst="rect">
                      <a:avLst/>
                    </a:prstGeom>
                    <a:noFill/>
                    <a:ln>
                      <a:noFill/>
                    </a:ln>
                  </pic:spPr>
                </pic:pic>
              </a:graphicData>
            </a:graphic>
          </wp:anchor>
        </w:drawing>
      </w:r>
      <w:r w:rsidR="00F26E31">
        <w:rPr>
          <w:rFonts w:ascii="Times New Roman" w:hAnsi="Times New Roman"/>
          <w:sz w:val="24"/>
          <w:szCs w:val="24"/>
        </w:rPr>
        <w:t xml:space="preserve"> </w:t>
      </w:r>
    </w:p>
    <w:p w14:paraId="5694DE3B" w14:textId="0D83F16E" w:rsidR="00CE0CBA" w:rsidRDefault="00351A65" w:rsidP="00DF70BD">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9D1C8A7" w14:textId="15C9575C" w:rsidR="006B5B40" w:rsidRDefault="006B5B40" w:rsidP="00DF70BD">
      <w:pPr>
        <w:spacing w:after="0" w:line="240" w:lineRule="auto"/>
        <w:jc w:val="both"/>
        <w:rPr>
          <w:rFonts w:ascii="Times New Roman" w:hAnsi="Times New Roman"/>
          <w:sz w:val="24"/>
          <w:szCs w:val="24"/>
        </w:rPr>
      </w:pPr>
    </w:p>
    <w:p w14:paraId="6829224F" w14:textId="0D163241" w:rsidR="006B5B40" w:rsidRDefault="006B5B40" w:rsidP="00DF70BD">
      <w:pPr>
        <w:spacing w:after="0" w:line="240" w:lineRule="auto"/>
        <w:jc w:val="both"/>
        <w:rPr>
          <w:rFonts w:ascii="Times New Roman" w:hAnsi="Times New Roman"/>
          <w:sz w:val="24"/>
          <w:szCs w:val="24"/>
        </w:rPr>
      </w:pPr>
    </w:p>
    <w:p w14:paraId="27929D44" w14:textId="77777777" w:rsidR="006B5B40" w:rsidRDefault="006B5B40" w:rsidP="00DF70BD">
      <w:pPr>
        <w:spacing w:after="0" w:line="240" w:lineRule="auto"/>
        <w:jc w:val="both"/>
        <w:rPr>
          <w:rFonts w:ascii="Times New Roman" w:hAnsi="Times New Roman"/>
          <w:sz w:val="24"/>
          <w:szCs w:val="24"/>
        </w:rPr>
      </w:pPr>
    </w:p>
    <w:p w14:paraId="2F20C8F0" w14:textId="1B64AA2D" w:rsidR="00CE0CBA" w:rsidRDefault="00CE0CBA" w:rsidP="00DF70BD">
      <w:pPr>
        <w:spacing w:after="0" w:line="240" w:lineRule="auto"/>
        <w:jc w:val="both"/>
        <w:rPr>
          <w:rFonts w:ascii="Times New Roman" w:hAnsi="Times New Roman"/>
          <w:sz w:val="24"/>
          <w:szCs w:val="24"/>
        </w:rPr>
      </w:pPr>
    </w:p>
    <w:p w14:paraId="7FE14906" w14:textId="00BB72BB" w:rsidR="006B5B40" w:rsidRDefault="006B5B40" w:rsidP="00DF70BD">
      <w:pPr>
        <w:spacing w:after="0" w:line="240" w:lineRule="auto"/>
        <w:jc w:val="both"/>
        <w:rPr>
          <w:rFonts w:ascii="Times New Roman" w:hAnsi="Times New Roman"/>
          <w:sz w:val="24"/>
          <w:szCs w:val="24"/>
        </w:rPr>
      </w:pPr>
    </w:p>
    <w:p w14:paraId="322D13AD" w14:textId="3EF16A39" w:rsidR="006B5B40" w:rsidRDefault="006B5B40" w:rsidP="00DF70BD">
      <w:pPr>
        <w:spacing w:after="0" w:line="240" w:lineRule="auto"/>
        <w:jc w:val="both"/>
        <w:rPr>
          <w:rFonts w:ascii="Times New Roman" w:hAnsi="Times New Roman"/>
          <w:sz w:val="24"/>
          <w:szCs w:val="24"/>
        </w:rPr>
      </w:pPr>
    </w:p>
    <w:p w14:paraId="4E84D217" w14:textId="587C9DD6" w:rsidR="008C2A9F" w:rsidRDefault="008C2A9F" w:rsidP="00DF70BD">
      <w:pPr>
        <w:spacing w:after="0" w:line="240" w:lineRule="auto"/>
        <w:jc w:val="both"/>
        <w:rPr>
          <w:rFonts w:ascii="Times New Roman" w:hAnsi="Times New Roman"/>
          <w:sz w:val="24"/>
          <w:szCs w:val="24"/>
        </w:rPr>
      </w:pPr>
    </w:p>
    <w:p w14:paraId="396FD206" w14:textId="77777777" w:rsidR="00FE287F" w:rsidRDefault="00FE287F" w:rsidP="008C2A9F">
      <w:pPr>
        <w:spacing w:after="0" w:line="240" w:lineRule="auto"/>
        <w:jc w:val="both"/>
        <w:rPr>
          <w:rFonts w:ascii="Times New Roman" w:hAnsi="Times New Roman"/>
          <w:sz w:val="24"/>
          <w:szCs w:val="24"/>
        </w:rPr>
      </w:pPr>
    </w:p>
    <w:p w14:paraId="501A2225" w14:textId="40348219" w:rsidR="008C2A9F" w:rsidRDefault="008C2A9F" w:rsidP="008C2A9F">
      <w:pPr>
        <w:spacing w:after="0" w:line="240" w:lineRule="auto"/>
        <w:jc w:val="both"/>
        <w:rPr>
          <w:rFonts w:ascii="Times New Roman" w:hAnsi="Times New Roman"/>
          <w:sz w:val="24"/>
          <w:szCs w:val="24"/>
        </w:rPr>
      </w:pPr>
      <w:r>
        <w:rPr>
          <w:rFonts w:ascii="Times New Roman" w:hAnsi="Times New Roman"/>
          <w:sz w:val="24"/>
          <w:szCs w:val="24"/>
        </w:rPr>
        <w:t xml:space="preserve">(3) Ingresos diversos </w:t>
      </w:r>
      <w:r w:rsidRPr="004C42A2">
        <w:rPr>
          <w:rFonts w:ascii="Times New Roman" w:hAnsi="Times New Roman"/>
          <w:sz w:val="24"/>
          <w:szCs w:val="24"/>
        </w:rPr>
        <w:t xml:space="preserve">este rubro </w:t>
      </w:r>
      <w:r>
        <w:rPr>
          <w:rFonts w:ascii="Times New Roman" w:hAnsi="Times New Roman"/>
          <w:sz w:val="24"/>
          <w:szCs w:val="24"/>
        </w:rPr>
        <w:t>a marzo 2022</w:t>
      </w:r>
      <w:r w:rsidRPr="004C42A2">
        <w:rPr>
          <w:rFonts w:ascii="Times New Roman" w:hAnsi="Times New Roman"/>
          <w:sz w:val="24"/>
          <w:szCs w:val="24"/>
        </w:rPr>
        <w:t xml:space="preserve"> está representado principalmente por la cuenta de </w:t>
      </w:r>
      <w:r w:rsidRPr="001B59DD">
        <w:rPr>
          <w:rFonts w:ascii="Times New Roman" w:hAnsi="Times New Roman"/>
          <w:sz w:val="24"/>
          <w:szCs w:val="24"/>
        </w:rPr>
        <w:t xml:space="preserve">Ingresos por ajuste por </w:t>
      </w:r>
      <w:r>
        <w:rPr>
          <w:rFonts w:ascii="Times New Roman" w:hAnsi="Times New Roman"/>
          <w:sz w:val="24"/>
          <w:szCs w:val="24"/>
        </w:rPr>
        <w:t>concepto de reintegros de incapacidades por valor de $9.405.286.</w:t>
      </w:r>
    </w:p>
    <w:p w14:paraId="159CCEB8" w14:textId="77777777" w:rsidR="008C2A9F" w:rsidRDefault="008C2A9F" w:rsidP="008C2A9F">
      <w:pPr>
        <w:spacing w:after="0" w:line="240" w:lineRule="auto"/>
        <w:jc w:val="both"/>
        <w:rPr>
          <w:rFonts w:ascii="Times New Roman" w:hAnsi="Times New Roman"/>
          <w:sz w:val="24"/>
          <w:szCs w:val="24"/>
        </w:rPr>
      </w:pPr>
    </w:p>
    <w:p w14:paraId="57110895" w14:textId="4DE2DB84" w:rsidR="0071634E" w:rsidRPr="00527C2E" w:rsidRDefault="006431B1" w:rsidP="00425DA9">
      <w:pPr>
        <w:pStyle w:val="Ttulo2"/>
        <w:numPr>
          <w:ilvl w:val="1"/>
          <w:numId w:val="19"/>
        </w:numPr>
        <w:ind w:left="567" w:hanging="567"/>
      </w:pPr>
      <w:bookmarkStart w:id="102" w:name="_Toc99455368"/>
      <w:r>
        <w:t>Subvenciones</w:t>
      </w:r>
      <w:bookmarkEnd w:id="102"/>
      <w:r w:rsidR="00FE7FA4">
        <w:t xml:space="preserve"> </w:t>
      </w:r>
    </w:p>
    <w:p w14:paraId="43832E9F" w14:textId="130C37B0" w:rsidR="0071634E" w:rsidRPr="00E2373F" w:rsidRDefault="006B5B40" w:rsidP="00667BC9">
      <w:pPr>
        <w:spacing w:after="0" w:line="240" w:lineRule="auto"/>
        <w:ind w:left="720"/>
        <w:jc w:val="both"/>
        <w:rPr>
          <w:rFonts w:ascii="Times New Roman" w:hAnsi="Times New Roman"/>
          <w:sz w:val="24"/>
          <w:szCs w:val="24"/>
        </w:rPr>
      </w:pPr>
      <w:r w:rsidRPr="006B5B40">
        <w:rPr>
          <w:noProof/>
        </w:rPr>
        <w:drawing>
          <wp:anchor distT="0" distB="0" distL="114300" distR="114300" simplePos="0" relativeHeight="252685312" behindDoc="1" locked="0" layoutInCell="1" allowOverlap="1" wp14:anchorId="49CD57DA" wp14:editId="14013302">
            <wp:simplePos x="0" y="0"/>
            <wp:positionH relativeFrom="column">
              <wp:posOffset>-57150</wp:posOffset>
            </wp:positionH>
            <wp:positionV relativeFrom="paragraph">
              <wp:posOffset>144145</wp:posOffset>
            </wp:positionV>
            <wp:extent cx="5881370" cy="1120775"/>
            <wp:effectExtent l="0" t="0" r="5080" b="317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81370" cy="1120775"/>
                    </a:xfrm>
                    <a:prstGeom prst="rect">
                      <a:avLst/>
                    </a:prstGeom>
                    <a:noFill/>
                    <a:ln>
                      <a:noFill/>
                    </a:ln>
                  </pic:spPr>
                </pic:pic>
              </a:graphicData>
            </a:graphic>
          </wp:anchor>
        </w:drawing>
      </w:r>
    </w:p>
    <w:p w14:paraId="7C66CFA4" w14:textId="06403C19" w:rsidR="00BA6D03" w:rsidRPr="00E2373F" w:rsidRDefault="00BA6D03" w:rsidP="006431B1">
      <w:pPr>
        <w:spacing w:after="0" w:line="240" w:lineRule="auto"/>
        <w:rPr>
          <w:rFonts w:ascii="Times New Roman" w:hAnsi="Times New Roman"/>
          <w:sz w:val="24"/>
          <w:szCs w:val="24"/>
        </w:rPr>
      </w:pPr>
    </w:p>
    <w:p w14:paraId="10655606" w14:textId="75E50FF7" w:rsidR="00BA6D03" w:rsidRPr="00E2373F" w:rsidRDefault="00BA6D03" w:rsidP="00667BC9">
      <w:pPr>
        <w:spacing w:after="0" w:line="240" w:lineRule="auto"/>
        <w:jc w:val="both"/>
        <w:rPr>
          <w:rFonts w:ascii="Times New Roman" w:hAnsi="Times New Roman"/>
          <w:sz w:val="24"/>
          <w:szCs w:val="24"/>
        </w:rPr>
      </w:pPr>
    </w:p>
    <w:p w14:paraId="142DA3CD" w14:textId="0CB687A4" w:rsidR="00D60B29" w:rsidRDefault="00D60B29" w:rsidP="00667BC9">
      <w:pPr>
        <w:spacing w:after="0" w:line="240" w:lineRule="auto"/>
        <w:jc w:val="both"/>
        <w:rPr>
          <w:rFonts w:ascii="Times New Roman" w:hAnsi="Times New Roman"/>
          <w:bCs/>
          <w:sz w:val="24"/>
          <w:szCs w:val="24"/>
        </w:rPr>
      </w:pPr>
    </w:p>
    <w:p w14:paraId="11AED9D5" w14:textId="77777777" w:rsidR="00D60B29" w:rsidRDefault="00D60B29" w:rsidP="00667BC9">
      <w:pPr>
        <w:spacing w:after="0" w:line="240" w:lineRule="auto"/>
        <w:jc w:val="both"/>
        <w:rPr>
          <w:rFonts w:ascii="Times New Roman" w:hAnsi="Times New Roman"/>
          <w:bCs/>
          <w:sz w:val="24"/>
          <w:szCs w:val="24"/>
        </w:rPr>
      </w:pPr>
    </w:p>
    <w:p w14:paraId="7A8ADC43" w14:textId="31352E99" w:rsidR="00D60B29" w:rsidRDefault="00D60B29" w:rsidP="00667BC9">
      <w:pPr>
        <w:spacing w:after="0" w:line="240" w:lineRule="auto"/>
        <w:jc w:val="both"/>
        <w:rPr>
          <w:rFonts w:ascii="Times New Roman" w:hAnsi="Times New Roman"/>
          <w:bCs/>
          <w:sz w:val="24"/>
          <w:szCs w:val="24"/>
        </w:rPr>
      </w:pPr>
    </w:p>
    <w:p w14:paraId="39EE2C98" w14:textId="77777777" w:rsidR="00D60B29" w:rsidRDefault="00D60B29" w:rsidP="00667BC9">
      <w:pPr>
        <w:spacing w:after="0" w:line="240" w:lineRule="auto"/>
        <w:jc w:val="both"/>
        <w:rPr>
          <w:rFonts w:ascii="Times New Roman" w:hAnsi="Times New Roman"/>
          <w:bCs/>
          <w:sz w:val="24"/>
          <w:szCs w:val="24"/>
        </w:rPr>
      </w:pPr>
    </w:p>
    <w:p w14:paraId="57C1D7EF" w14:textId="77777777" w:rsidR="00AE0E5E" w:rsidRDefault="00AE0E5E" w:rsidP="00667BC9">
      <w:pPr>
        <w:spacing w:after="0" w:line="240" w:lineRule="auto"/>
        <w:jc w:val="both"/>
        <w:rPr>
          <w:rFonts w:ascii="Times New Roman" w:hAnsi="Times New Roman"/>
          <w:bCs/>
          <w:sz w:val="24"/>
          <w:szCs w:val="24"/>
        </w:rPr>
      </w:pPr>
    </w:p>
    <w:p w14:paraId="7DEB7BAA" w14:textId="53321385" w:rsidR="00A02CC8" w:rsidRDefault="00D77996" w:rsidP="00667BC9">
      <w:pPr>
        <w:spacing w:after="0" w:line="240" w:lineRule="auto"/>
        <w:jc w:val="both"/>
        <w:rPr>
          <w:rFonts w:ascii="Times New Roman" w:hAnsi="Times New Roman"/>
          <w:bCs/>
          <w:sz w:val="24"/>
          <w:szCs w:val="24"/>
        </w:rPr>
      </w:pPr>
      <w:r w:rsidRPr="00D77996">
        <w:rPr>
          <w:rFonts w:ascii="Times New Roman" w:hAnsi="Times New Roman"/>
          <w:bCs/>
          <w:sz w:val="24"/>
          <w:szCs w:val="24"/>
        </w:rPr>
        <w:t xml:space="preserve">Al corte del </w:t>
      </w:r>
      <w:r w:rsidR="00FE287F">
        <w:rPr>
          <w:rFonts w:ascii="Times New Roman" w:hAnsi="Times New Roman"/>
          <w:bCs/>
          <w:sz w:val="24"/>
          <w:szCs w:val="24"/>
        </w:rPr>
        <w:t>31</w:t>
      </w:r>
      <w:r w:rsidR="00303E48">
        <w:rPr>
          <w:rFonts w:ascii="Times New Roman" w:hAnsi="Times New Roman"/>
          <w:bCs/>
          <w:sz w:val="24"/>
          <w:szCs w:val="24"/>
        </w:rPr>
        <w:t xml:space="preserve"> de </w:t>
      </w:r>
      <w:r w:rsidR="00FE287F">
        <w:rPr>
          <w:rFonts w:ascii="Times New Roman" w:hAnsi="Times New Roman"/>
          <w:bCs/>
          <w:sz w:val="24"/>
          <w:szCs w:val="24"/>
        </w:rPr>
        <w:t>marzo</w:t>
      </w:r>
      <w:r w:rsidR="006B5B40">
        <w:rPr>
          <w:rFonts w:ascii="Times New Roman" w:hAnsi="Times New Roman"/>
          <w:bCs/>
          <w:sz w:val="24"/>
          <w:szCs w:val="24"/>
        </w:rPr>
        <w:t xml:space="preserve"> </w:t>
      </w:r>
      <w:r w:rsidR="00A40030">
        <w:rPr>
          <w:rFonts w:ascii="Times New Roman" w:hAnsi="Times New Roman"/>
          <w:bCs/>
          <w:sz w:val="24"/>
          <w:szCs w:val="24"/>
        </w:rPr>
        <w:t xml:space="preserve">se presentaron ingresos por </w:t>
      </w:r>
      <w:r w:rsidRPr="00D77996">
        <w:rPr>
          <w:rFonts w:ascii="Times New Roman" w:hAnsi="Times New Roman"/>
          <w:bCs/>
          <w:sz w:val="24"/>
          <w:szCs w:val="24"/>
        </w:rPr>
        <w:t>$</w:t>
      </w:r>
      <w:r w:rsidR="00AF0E7F">
        <w:rPr>
          <w:rFonts w:ascii="Times New Roman" w:hAnsi="Times New Roman"/>
          <w:bCs/>
          <w:sz w:val="24"/>
          <w:szCs w:val="24"/>
        </w:rPr>
        <w:t>29</w:t>
      </w:r>
      <w:r>
        <w:rPr>
          <w:rFonts w:ascii="Times New Roman" w:hAnsi="Times New Roman"/>
          <w:bCs/>
          <w:sz w:val="24"/>
          <w:szCs w:val="24"/>
        </w:rPr>
        <w:t>.</w:t>
      </w:r>
      <w:r w:rsidR="00AF0E7F">
        <w:rPr>
          <w:rFonts w:ascii="Times New Roman" w:hAnsi="Times New Roman"/>
          <w:bCs/>
          <w:sz w:val="24"/>
          <w:szCs w:val="24"/>
        </w:rPr>
        <w:t>634</w:t>
      </w:r>
      <w:r w:rsidR="00FC4B11">
        <w:rPr>
          <w:rFonts w:ascii="Times New Roman" w:hAnsi="Times New Roman"/>
          <w:bCs/>
          <w:sz w:val="24"/>
          <w:szCs w:val="24"/>
        </w:rPr>
        <w:t>.</w:t>
      </w:r>
      <w:r w:rsidR="00AB241D">
        <w:rPr>
          <w:rFonts w:ascii="Times New Roman" w:hAnsi="Times New Roman"/>
          <w:bCs/>
          <w:sz w:val="24"/>
          <w:szCs w:val="24"/>
        </w:rPr>
        <w:t>1</w:t>
      </w:r>
      <w:r w:rsidR="00B24A80">
        <w:rPr>
          <w:rFonts w:ascii="Times New Roman" w:hAnsi="Times New Roman"/>
          <w:bCs/>
          <w:sz w:val="24"/>
          <w:szCs w:val="24"/>
        </w:rPr>
        <w:t>00</w:t>
      </w:r>
      <w:r w:rsidRPr="00D77996">
        <w:rPr>
          <w:rFonts w:ascii="Times New Roman" w:hAnsi="Times New Roman"/>
          <w:bCs/>
          <w:sz w:val="24"/>
          <w:szCs w:val="24"/>
        </w:rPr>
        <w:t xml:space="preserve"> por concepto de Subvenciones y Donaciones e</w:t>
      </w:r>
      <w:r w:rsidR="00EB2191">
        <w:rPr>
          <w:rFonts w:ascii="Times New Roman" w:hAnsi="Times New Roman"/>
          <w:bCs/>
          <w:sz w:val="24"/>
          <w:szCs w:val="24"/>
        </w:rPr>
        <w:t>s</w:t>
      </w:r>
      <w:r w:rsidRPr="00D77996">
        <w:rPr>
          <w:rFonts w:ascii="Times New Roman" w:hAnsi="Times New Roman"/>
          <w:bCs/>
          <w:sz w:val="24"/>
          <w:szCs w:val="24"/>
        </w:rPr>
        <w:t xml:space="preserve">tas fueron realizadas principalmente por el MEN y por algunas Secretarias de Educación para mitigar los impactos del COVID – 19 generados sobre el nivel de recaudo y para la financiación del costo de los servicios de evaluación; estas alternativas de financiación, han servido para determinar la viabilidad en la realización de las pruebas de estado </w:t>
      </w:r>
      <w:r w:rsidR="002F2D95" w:rsidRPr="002F2D95">
        <w:rPr>
          <w:rFonts w:ascii="Times New Roman" w:hAnsi="Times New Roman"/>
          <w:bCs/>
          <w:sz w:val="24"/>
          <w:szCs w:val="24"/>
        </w:rPr>
        <w:t>como también la participación de estudiantes durante los años 202</w:t>
      </w:r>
      <w:r w:rsidR="00DE7F0D">
        <w:rPr>
          <w:rFonts w:ascii="Times New Roman" w:hAnsi="Times New Roman"/>
          <w:bCs/>
          <w:sz w:val="24"/>
          <w:szCs w:val="24"/>
        </w:rPr>
        <w:t>1</w:t>
      </w:r>
      <w:r w:rsidR="002F2D95" w:rsidRPr="002F2D95">
        <w:rPr>
          <w:rFonts w:ascii="Times New Roman" w:hAnsi="Times New Roman"/>
          <w:bCs/>
          <w:sz w:val="24"/>
          <w:szCs w:val="24"/>
        </w:rPr>
        <w:t xml:space="preserve"> y 202</w:t>
      </w:r>
      <w:r w:rsidR="00DE7F0D">
        <w:rPr>
          <w:rFonts w:ascii="Times New Roman" w:hAnsi="Times New Roman"/>
          <w:bCs/>
          <w:sz w:val="24"/>
          <w:szCs w:val="24"/>
        </w:rPr>
        <w:t>2</w:t>
      </w:r>
      <w:r w:rsidR="002F2D95" w:rsidRPr="002F2D95">
        <w:rPr>
          <w:rFonts w:ascii="Times New Roman" w:hAnsi="Times New Roman"/>
          <w:bCs/>
          <w:sz w:val="24"/>
          <w:szCs w:val="24"/>
        </w:rPr>
        <w:t>.</w:t>
      </w:r>
    </w:p>
    <w:p w14:paraId="4F705435" w14:textId="77777777" w:rsidR="00BA3243" w:rsidRDefault="00BA3243" w:rsidP="00D60B29">
      <w:pPr>
        <w:pStyle w:val="Ttulo1"/>
      </w:pPr>
    </w:p>
    <w:p w14:paraId="6700C844" w14:textId="12C5F5B8" w:rsidR="00095664" w:rsidRPr="00E2373F" w:rsidRDefault="00557DF9" w:rsidP="00D60B29">
      <w:pPr>
        <w:pStyle w:val="Ttulo1"/>
      </w:pPr>
      <w:bookmarkStart w:id="103" w:name="_Toc99455369"/>
      <w:r w:rsidRPr="00E2373F">
        <w:t xml:space="preserve">NOTA </w:t>
      </w:r>
      <w:r w:rsidR="00610ED2" w:rsidRPr="00E2373F">
        <w:t>2</w:t>
      </w:r>
      <w:r w:rsidR="00C24DF5">
        <w:t>9</w:t>
      </w:r>
      <w:r w:rsidRPr="00E2373F">
        <w:t>. GASTOS</w:t>
      </w:r>
      <w:bookmarkEnd w:id="103"/>
    </w:p>
    <w:p w14:paraId="05ECD111" w14:textId="42ABCC8A" w:rsidR="00D04DF7" w:rsidRPr="00E2373F" w:rsidRDefault="00D04DF7" w:rsidP="00D60B29">
      <w:pPr>
        <w:spacing w:after="0" w:line="240" w:lineRule="auto"/>
        <w:jc w:val="both"/>
        <w:rPr>
          <w:rFonts w:ascii="Times New Roman" w:hAnsi="Times New Roman"/>
          <w:b/>
          <w:sz w:val="24"/>
          <w:szCs w:val="24"/>
        </w:rPr>
      </w:pPr>
    </w:p>
    <w:p w14:paraId="691D26BB" w14:textId="6C1F935D" w:rsidR="00D04DF7" w:rsidRPr="00E738BD" w:rsidRDefault="00D04DF7" w:rsidP="00D60B29">
      <w:pPr>
        <w:pStyle w:val="Ttulo2"/>
        <w:numPr>
          <w:ilvl w:val="0"/>
          <w:numId w:val="0"/>
        </w:numPr>
        <w:spacing w:line="240" w:lineRule="auto"/>
      </w:pPr>
      <w:bookmarkStart w:id="104" w:name="_Toc99455370"/>
      <w:r w:rsidRPr="00E738BD">
        <w:t>Composición</w:t>
      </w:r>
      <w:bookmarkEnd w:id="104"/>
    </w:p>
    <w:p w14:paraId="1117057E" w14:textId="199DA16A" w:rsidR="00D60B29" w:rsidRDefault="00D60B29" w:rsidP="00D60B29">
      <w:pPr>
        <w:pStyle w:val="Prrafodelista"/>
        <w:spacing w:after="0" w:line="240" w:lineRule="auto"/>
        <w:ind w:left="0"/>
        <w:jc w:val="both"/>
        <w:rPr>
          <w:rFonts w:ascii="Times New Roman" w:hAnsi="Times New Roman"/>
          <w:sz w:val="24"/>
          <w:szCs w:val="24"/>
        </w:rPr>
      </w:pPr>
    </w:p>
    <w:p w14:paraId="4BB9D2D8" w14:textId="7EA09970" w:rsidR="00D04DF7" w:rsidRDefault="00B25B55" w:rsidP="00D60B29">
      <w:pPr>
        <w:pStyle w:val="Prrafodelista"/>
        <w:spacing w:after="0" w:line="240" w:lineRule="auto"/>
        <w:ind w:left="0"/>
        <w:jc w:val="both"/>
        <w:rPr>
          <w:rFonts w:ascii="Times New Roman" w:hAnsi="Times New Roman"/>
          <w:sz w:val="24"/>
          <w:szCs w:val="24"/>
        </w:rPr>
      </w:pPr>
      <w:r w:rsidRPr="00B25B55">
        <w:rPr>
          <w:rFonts w:ascii="Times New Roman" w:hAnsi="Times New Roman"/>
          <w:sz w:val="24"/>
          <w:szCs w:val="24"/>
        </w:rPr>
        <w:t xml:space="preserve">La desagregación de los gastos de administración presentados en el estado de resultados para los periodos contables terminados el </w:t>
      </w:r>
      <w:r w:rsidR="00B27577">
        <w:rPr>
          <w:rFonts w:ascii="Times New Roman" w:hAnsi="Times New Roman"/>
          <w:sz w:val="24"/>
          <w:szCs w:val="24"/>
        </w:rPr>
        <w:t>31/03/2022 y 31/03/2021</w:t>
      </w:r>
      <w:r w:rsidRPr="00B25B55">
        <w:rPr>
          <w:rFonts w:ascii="Times New Roman" w:hAnsi="Times New Roman"/>
          <w:sz w:val="24"/>
          <w:szCs w:val="24"/>
        </w:rPr>
        <w:t xml:space="preserve"> es la siguiente:</w:t>
      </w:r>
    </w:p>
    <w:p w14:paraId="746C88ED" w14:textId="2A6FA1FD" w:rsidR="00784C1A" w:rsidRPr="00E2373F" w:rsidRDefault="00434345" w:rsidP="00D60B29">
      <w:pPr>
        <w:pStyle w:val="Prrafodelista"/>
        <w:spacing w:after="0" w:line="240" w:lineRule="auto"/>
        <w:ind w:left="0"/>
        <w:jc w:val="both"/>
        <w:rPr>
          <w:rFonts w:ascii="Times New Roman" w:hAnsi="Times New Roman"/>
          <w:sz w:val="24"/>
          <w:szCs w:val="24"/>
          <w:u w:val="single"/>
        </w:rPr>
      </w:pPr>
      <w:r w:rsidRPr="00434345">
        <w:rPr>
          <w:noProof/>
        </w:rPr>
        <w:drawing>
          <wp:anchor distT="0" distB="0" distL="114300" distR="114300" simplePos="0" relativeHeight="252751872" behindDoc="1" locked="0" layoutInCell="1" allowOverlap="1" wp14:anchorId="127C4304" wp14:editId="0C742BC0">
            <wp:simplePos x="0" y="0"/>
            <wp:positionH relativeFrom="column">
              <wp:posOffset>31750</wp:posOffset>
            </wp:positionH>
            <wp:positionV relativeFrom="paragraph">
              <wp:posOffset>131445</wp:posOffset>
            </wp:positionV>
            <wp:extent cx="5881370" cy="1389380"/>
            <wp:effectExtent l="0" t="0" r="5080" b="127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81370" cy="1389380"/>
                    </a:xfrm>
                    <a:prstGeom prst="rect">
                      <a:avLst/>
                    </a:prstGeom>
                    <a:noFill/>
                    <a:ln>
                      <a:noFill/>
                    </a:ln>
                  </pic:spPr>
                </pic:pic>
              </a:graphicData>
            </a:graphic>
          </wp:anchor>
        </w:drawing>
      </w:r>
    </w:p>
    <w:p w14:paraId="32DA7DF7" w14:textId="16072052" w:rsidR="00D04DF7" w:rsidRDefault="00D04DF7" w:rsidP="00667BC9">
      <w:pPr>
        <w:pStyle w:val="Prrafodelista"/>
        <w:spacing w:after="0" w:line="240" w:lineRule="auto"/>
        <w:ind w:left="0"/>
        <w:jc w:val="center"/>
        <w:rPr>
          <w:noProof/>
        </w:rPr>
      </w:pPr>
    </w:p>
    <w:p w14:paraId="22137F56" w14:textId="3CEC6DA5" w:rsidR="00B25B55" w:rsidRDefault="00B25B55" w:rsidP="00667BC9">
      <w:pPr>
        <w:pStyle w:val="Prrafodelista"/>
        <w:spacing w:after="0" w:line="240" w:lineRule="auto"/>
        <w:ind w:left="0"/>
        <w:jc w:val="center"/>
        <w:rPr>
          <w:noProof/>
        </w:rPr>
      </w:pPr>
    </w:p>
    <w:p w14:paraId="6EFA6E17" w14:textId="5EC10316" w:rsidR="00B25B55" w:rsidRDefault="00B25B55" w:rsidP="00667BC9">
      <w:pPr>
        <w:pStyle w:val="Prrafodelista"/>
        <w:spacing w:after="0" w:line="240" w:lineRule="auto"/>
        <w:ind w:left="0"/>
        <w:jc w:val="center"/>
        <w:rPr>
          <w:noProof/>
        </w:rPr>
      </w:pPr>
    </w:p>
    <w:p w14:paraId="77B5F4F0" w14:textId="2E9A0363" w:rsidR="00B25B55" w:rsidRDefault="00B25B55" w:rsidP="00667BC9">
      <w:pPr>
        <w:pStyle w:val="Prrafodelista"/>
        <w:spacing w:after="0" w:line="240" w:lineRule="auto"/>
        <w:ind w:left="0"/>
        <w:jc w:val="center"/>
        <w:rPr>
          <w:rFonts w:ascii="Times New Roman" w:hAnsi="Times New Roman"/>
          <w:sz w:val="24"/>
          <w:szCs w:val="24"/>
        </w:rPr>
      </w:pPr>
    </w:p>
    <w:p w14:paraId="72993C5B" w14:textId="74FCAD95" w:rsidR="00FA0C9B" w:rsidRDefault="00FA0C9B" w:rsidP="00667BC9">
      <w:pPr>
        <w:pStyle w:val="Prrafodelista"/>
        <w:spacing w:after="0" w:line="240" w:lineRule="auto"/>
        <w:ind w:left="0"/>
        <w:jc w:val="center"/>
        <w:rPr>
          <w:rFonts w:ascii="Times New Roman" w:hAnsi="Times New Roman"/>
          <w:sz w:val="24"/>
          <w:szCs w:val="24"/>
        </w:rPr>
      </w:pPr>
    </w:p>
    <w:p w14:paraId="0F43C260" w14:textId="3FE765ED" w:rsidR="00FA0C9B" w:rsidRDefault="00FA0C9B" w:rsidP="00667BC9">
      <w:pPr>
        <w:pStyle w:val="Prrafodelista"/>
        <w:spacing w:after="0" w:line="240" w:lineRule="auto"/>
        <w:ind w:left="0"/>
        <w:jc w:val="center"/>
        <w:rPr>
          <w:rFonts w:ascii="Times New Roman" w:hAnsi="Times New Roman"/>
          <w:sz w:val="24"/>
          <w:szCs w:val="24"/>
        </w:rPr>
      </w:pPr>
    </w:p>
    <w:p w14:paraId="2B3E1BD3" w14:textId="7124E929" w:rsidR="00AC4BF0" w:rsidRDefault="00AC4BF0" w:rsidP="00667BC9">
      <w:pPr>
        <w:pStyle w:val="Prrafodelista"/>
        <w:spacing w:after="0" w:line="240" w:lineRule="auto"/>
        <w:ind w:left="0"/>
        <w:jc w:val="center"/>
        <w:rPr>
          <w:rFonts w:ascii="Times New Roman" w:hAnsi="Times New Roman"/>
          <w:sz w:val="24"/>
          <w:szCs w:val="24"/>
        </w:rPr>
      </w:pPr>
    </w:p>
    <w:p w14:paraId="3011C41B" w14:textId="349CFD2D" w:rsidR="00AC4BF0" w:rsidRDefault="00AC4BF0" w:rsidP="00667BC9">
      <w:pPr>
        <w:pStyle w:val="Prrafodelista"/>
        <w:spacing w:after="0" w:line="240" w:lineRule="auto"/>
        <w:ind w:left="0"/>
        <w:jc w:val="center"/>
        <w:rPr>
          <w:rFonts w:ascii="Times New Roman" w:hAnsi="Times New Roman"/>
          <w:sz w:val="24"/>
          <w:szCs w:val="24"/>
        </w:rPr>
      </w:pPr>
    </w:p>
    <w:p w14:paraId="05A97820" w14:textId="51720FC2" w:rsidR="00AC4BF0" w:rsidRDefault="00AC4BF0" w:rsidP="00667BC9">
      <w:pPr>
        <w:pStyle w:val="Prrafodelista"/>
        <w:spacing w:after="0" w:line="240" w:lineRule="auto"/>
        <w:ind w:left="0"/>
        <w:jc w:val="center"/>
        <w:rPr>
          <w:rFonts w:ascii="Times New Roman" w:hAnsi="Times New Roman"/>
          <w:sz w:val="24"/>
          <w:szCs w:val="24"/>
        </w:rPr>
      </w:pPr>
    </w:p>
    <w:p w14:paraId="6815C5CB" w14:textId="17A6233B" w:rsidR="00D04DF7" w:rsidRDefault="00D04DF7" w:rsidP="00425DA9">
      <w:pPr>
        <w:pStyle w:val="Ttulo2"/>
        <w:numPr>
          <w:ilvl w:val="1"/>
          <w:numId w:val="20"/>
        </w:numPr>
        <w:ind w:left="567" w:hanging="567"/>
      </w:pPr>
      <w:bookmarkStart w:id="105" w:name="_Toc99455371"/>
      <w:r w:rsidRPr="00E738BD">
        <w:lastRenderedPageBreak/>
        <w:t>Gastos de administración, de operación y de ventas</w:t>
      </w:r>
      <w:bookmarkEnd w:id="105"/>
    </w:p>
    <w:p w14:paraId="2651EBDE" w14:textId="613B0222" w:rsidR="00D04DF7" w:rsidRPr="00E2373F" w:rsidRDefault="00434345" w:rsidP="00667BC9">
      <w:pPr>
        <w:spacing w:after="0" w:line="240" w:lineRule="auto"/>
        <w:ind w:left="720"/>
        <w:jc w:val="both"/>
        <w:rPr>
          <w:rFonts w:ascii="Times New Roman" w:hAnsi="Times New Roman"/>
          <w:sz w:val="24"/>
          <w:szCs w:val="24"/>
        </w:rPr>
      </w:pPr>
      <w:r w:rsidRPr="00434345">
        <w:rPr>
          <w:noProof/>
        </w:rPr>
        <w:drawing>
          <wp:anchor distT="0" distB="0" distL="114300" distR="114300" simplePos="0" relativeHeight="252752896" behindDoc="1" locked="0" layoutInCell="1" allowOverlap="1" wp14:anchorId="06F6E240" wp14:editId="1563B14B">
            <wp:simplePos x="0" y="0"/>
            <wp:positionH relativeFrom="column">
              <wp:posOffset>-63500</wp:posOffset>
            </wp:positionH>
            <wp:positionV relativeFrom="paragraph">
              <wp:posOffset>123190</wp:posOffset>
            </wp:positionV>
            <wp:extent cx="5881370" cy="2523490"/>
            <wp:effectExtent l="0" t="0" r="508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81370" cy="2523490"/>
                    </a:xfrm>
                    <a:prstGeom prst="rect">
                      <a:avLst/>
                    </a:prstGeom>
                    <a:noFill/>
                    <a:ln>
                      <a:noFill/>
                    </a:ln>
                  </pic:spPr>
                </pic:pic>
              </a:graphicData>
            </a:graphic>
          </wp:anchor>
        </w:drawing>
      </w:r>
    </w:p>
    <w:p w14:paraId="2FD26570" w14:textId="6BE23C95" w:rsidR="00D04DF7" w:rsidRPr="00E2373F" w:rsidRDefault="00D04DF7" w:rsidP="00667BC9">
      <w:pPr>
        <w:spacing w:after="0" w:line="240" w:lineRule="auto"/>
        <w:jc w:val="center"/>
        <w:rPr>
          <w:rFonts w:ascii="Times New Roman" w:hAnsi="Times New Roman"/>
          <w:sz w:val="24"/>
          <w:szCs w:val="24"/>
        </w:rPr>
      </w:pPr>
    </w:p>
    <w:p w14:paraId="358A3F99" w14:textId="7B8CDE5D" w:rsidR="00D04DF7" w:rsidRDefault="00D04DF7" w:rsidP="00667BC9">
      <w:pPr>
        <w:spacing w:after="0" w:line="240" w:lineRule="auto"/>
        <w:jc w:val="both"/>
        <w:rPr>
          <w:rFonts w:ascii="Times New Roman" w:hAnsi="Times New Roman"/>
          <w:sz w:val="24"/>
          <w:szCs w:val="24"/>
        </w:rPr>
      </w:pPr>
    </w:p>
    <w:p w14:paraId="663B8307" w14:textId="782D6205" w:rsidR="00753017" w:rsidRDefault="00753017" w:rsidP="00667BC9">
      <w:pPr>
        <w:spacing w:after="0" w:line="240" w:lineRule="auto"/>
        <w:jc w:val="both"/>
        <w:rPr>
          <w:rFonts w:ascii="Times New Roman" w:hAnsi="Times New Roman"/>
          <w:sz w:val="24"/>
          <w:szCs w:val="24"/>
        </w:rPr>
      </w:pPr>
    </w:p>
    <w:p w14:paraId="00165561" w14:textId="73D60B94" w:rsidR="00753017" w:rsidRDefault="00753017" w:rsidP="00667BC9">
      <w:pPr>
        <w:spacing w:after="0" w:line="240" w:lineRule="auto"/>
        <w:jc w:val="both"/>
        <w:rPr>
          <w:rFonts w:ascii="Times New Roman" w:hAnsi="Times New Roman"/>
          <w:sz w:val="24"/>
          <w:szCs w:val="24"/>
        </w:rPr>
      </w:pPr>
    </w:p>
    <w:p w14:paraId="75872673" w14:textId="5CDAF0CD" w:rsidR="00753017" w:rsidRDefault="00753017" w:rsidP="00667BC9">
      <w:pPr>
        <w:spacing w:after="0" w:line="240" w:lineRule="auto"/>
        <w:jc w:val="both"/>
        <w:rPr>
          <w:rFonts w:ascii="Times New Roman" w:hAnsi="Times New Roman"/>
          <w:sz w:val="24"/>
          <w:szCs w:val="24"/>
        </w:rPr>
      </w:pPr>
    </w:p>
    <w:p w14:paraId="5654DF62" w14:textId="110A968F" w:rsidR="00753017" w:rsidRDefault="00753017" w:rsidP="00667BC9">
      <w:pPr>
        <w:spacing w:after="0" w:line="240" w:lineRule="auto"/>
        <w:jc w:val="both"/>
        <w:rPr>
          <w:rFonts w:ascii="Times New Roman" w:hAnsi="Times New Roman"/>
          <w:sz w:val="24"/>
          <w:szCs w:val="24"/>
        </w:rPr>
      </w:pPr>
    </w:p>
    <w:p w14:paraId="5E3EAB43" w14:textId="253D15D7" w:rsidR="00753017" w:rsidRDefault="00753017" w:rsidP="00667BC9">
      <w:pPr>
        <w:spacing w:after="0" w:line="240" w:lineRule="auto"/>
        <w:jc w:val="both"/>
        <w:rPr>
          <w:rFonts w:ascii="Times New Roman" w:hAnsi="Times New Roman"/>
          <w:sz w:val="24"/>
          <w:szCs w:val="24"/>
        </w:rPr>
      </w:pPr>
    </w:p>
    <w:p w14:paraId="337B8D2F" w14:textId="25E400C5" w:rsidR="00753017" w:rsidRDefault="00753017" w:rsidP="00667BC9">
      <w:pPr>
        <w:spacing w:after="0" w:line="240" w:lineRule="auto"/>
        <w:jc w:val="both"/>
        <w:rPr>
          <w:rFonts w:ascii="Times New Roman" w:hAnsi="Times New Roman"/>
          <w:sz w:val="24"/>
          <w:szCs w:val="24"/>
        </w:rPr>
      </w:pPr>
    </w:p>
    <w:p w14:paraId="36FE3DFD" w14:textId="529CE422" w:rsidR="00753017" w:rsidRDefault="00753017" w:rsidP="00667BC9">
      <w:pPr>
        <w:spacing w:after="0" w:line="240" w:lineRule="auto"/>
        <w:jc w:val="both"/>
        <w:rPr>
          <w:rFonts w:ascii="Times New Roman" w:hAnsi="Times New Roman"/>
          <w:sz w:val="24"/>
          <w:szCs w:val="24"/>
        </w:rPr>
      </w:pPr>
    </w:p>
    <w:p w14:paraId="67E8C24B" w14:textId="67729E32" w:rsidR="00753017" w:rsidRDefault="00753017" w:rsidP="00667BC9">
      <w:pPr>
        <w:spacing w:after="0" w:line="240" w:lineRule="auto"/>
        <w:jc w:val="both"/>
        <w:rPr>
          <w:rFonts w:ascii="Times New Roman" w:hAnsi="Times New Roman"/>
          <w:sz w:val="24"/>
          <w:szCs w:val="24"/>
        </w:rPr>
      </w:pPr>
    </w:p>
    <w:p w14:paraId="332BD408" w14:textId="33721804" w:rsidR="00753017" w:rsidRDefault="00753017" w:rsidP="00667BC9">
      <w:pPr>
        <w:spacing w:after="0" w:line="240" w:lineRule="auto"/>
        <w:jc w:val="both"/>
        <w:rPr>
          <w:rFonts w:ascii="Times New Roman" w:hAnsi="Times New Roman"/>
          <w:sz w:val="24"/>
          <w:szCs w:val="24"/>
        </w:rPr>
      </w:pPr>
    </w:p>
    <w:p w14:paraId="3B101484" w14:textId="72EFD53B" w:rsidR="00753017" w:rsidRDefault="00753017" w:rsidP="00667BC9">
      <w:pPr>
        <w:spacing w:after="0" w:line="240" w:lineRule="auto"/>
        <w:jc w:val="both"/>
        <w:rPr>
          <w:rFonts w:ascii="Times New Roman" w:hAnsi="Times New Roman"/>
          <w:sz w:val="24"/>
          <w:szCs w:val="24"/>
        </w:rPr>
      </w:pPr>
    </w:p>
    <w:p w14:paraId="5427DFBD" w14:textId="77777777" w:rsidR="0001153B" w:rsidRDefault="0001153B" w:rsidP="00077955">
      <w:pPr>
        <w:spacing w:after="0" w:line="240" w:lineRule="auto"/>
        <w:jc w:val="both"/>
        <w:rPr>
          <w:rFonts w:ascii="Times New Roman" w:hAnsi="Times New Roman"/>
          <w:sz w:val="24"/>
          <w:szCs w:val="24"/>
        </w:rPr>
      </w:pPr>
    </w:p>
    <w:p w14:paraId="3E860753" w14:textId="77777777" w:rsidR="00AC4BF0" w:rsidRDefault="00AC4BF0" w:rsidP="00077955">
      <w:pPr>
        <w:spacing w:after="0" w:line="240" w:lineRule="auto"/>
        <w:jc w:val="both"/>
        <w:rPr>
          <w:rFonts w:ascii="Times New Roman" w:hAnsi="Times New Roman"/>
          <w:sz w:val="24"/>
          <w:szCs w:val="24"/>
        </w:rPr>
      </w:pPr>
    </w:p>
    <w:p w14:paraId="7509C3B0" w14:textId="77777777" w:rsidR="00AC4BF0" w:rsidRDefault="00AC4BF0" w:rsidP="00077955">
      <w:pPr>
        <w:spacing w:after="0" w:line="240" w:lineRule="auto"/>
        <w:jc w:val="both"/>
        <w:rPr>
          <w:rFonts w:ascii="Times New Roman" w:hAnsi="Times New Roman"/>
          <w:sz w:val="24"/>
          <w:szCs w:val="24"/>
        </w:rPr>
      </w:pPr>
    </w:p>
    <w:p w14:paraId="1E23A75F" w14:textId="36D3C3C2" w:rsidR="00077955" w:rsidRDefault="00C56E04" w:rsidP="00077955">
      <w:pPr>
        <w:spacing w:after="0" w:line="240" w:lineRule="auto"/>
        <w:jc w:val="both"/>
        <w:rPr>
          <w:rFonts w:ascii="Times New Roman" w:hAnsi="Times New Roman"/>
          <w:sz w:val="24"/>
          <w:szCs w:val="24"/>
        </w:rPr>
      </w:pPr>
      <w:r w:rsidRPr="00C56E04">
        <w:rPr>
          <w:rFonts w:ascii="Times New Roman" w:hAnsi="Times New Roman"/>
          <w:sz w:val="24"/>
          <w:szCs w:val="24"/>
        </w:rPr>
        <w:t>Este rubro de gastos administrativos incluye las subcuentas que representan los flujos de salida de recursos de la entidad, susceptibles de reducir el patrimonio durante el período contable, por disminución de activos o por aumento de pasivos, requeridos para el desarrollo de la actividad ordinaria de la entidad.</w:t>
      </w:r>
    </w:p>
    <w:p w14:paraId="33332426" w14:textId="57577F43" w:rsidR="000518D5" w:rsidRDefault="000518D5" w:rsidP="00667BC9">
      <w:pPr>
        <w:spacing w:after="0" w:line="240" w:lineRule="auto"/>
        <w:jc w:val="both"/>
        <w:rPr>
          <w:rFonts w:ascii="Times New Roman" w:hAnsi="Times New Roman"/>
          <w:sz w:val="24"/>
          <w:szCs w:val="24"/>
        </w:rPr>
      </w:pPr>
    </w:p>
    <w:p w14:paraId="735D8CE6" w14:textId="06CBCDFD" w:rsidR="00C56E04" w:rsidRDefault="008C2C6F" w:rsidP="00667BC9">
      <w:pPr>
        <w:spacing w:after="0" w:line="240" w:lineRule="auto"/>
        <w:jc w:val="both"/>
        <w:rPr>
          <w:rFonts w:ascii="Times New Roman" w:hAnsi="Times New Roman"/>
          <w:sz w:val="24"/>
          <w:szCs w:val="24"/>
        </w:rPr>
      </w:pPr>
      <w:r w:rsidRPr="008C2C6F">
        <w:rPr>
          <w:rFonts w:ascii="Times New Roman" w:hAnsi="Times New Roman"/>
          <w:sz w:val="24"/>
          <w:szCs w:val="24"/>
        </w:rPr>
        <w:t>(</w:t>
      </w:r>
      <w:r w:rsidR="00270562">
        <w:rPr>
          <w:rFonts w:ascii="Times New Roman" w:hAnsi="Times New Roman"/>
          <w:sz w:val="24"/>
          <w:szCs w:val="24"/>
        </w:rPr>
        <w:t>1</w:t>
      </w:r>
      <w:r w:rsidRPr="008C2C6F">
        <w:rPr>
          <w:rFonts w:ascii="Times New Roman" w:hAnsi="Times New Roman"/>
          <w:sz w:val="24"/>
          <w:szCs w:val="24"/>
        </w:rPr>
        <w:t>)</w:t>
      </w:r>
      <w:r w:rsidR="0062515B">
        <w:rPr>
          <w:rFonts w:ascii="Times New Roman" w:hAnsi="Times New Roman"/>
          <w:sz w:val="24"/>
          <w:szCs w:val="24"/>
        </w:rPr>
        <w:t xml:space="preserve"> </w:t>
      </w:r>
      <w:r w:rsidRPr="008C2C6F">
        <w:rPr>
          <w:rFonts w:ascii="Times New Roman" w:hAnsi="Times New Roman"/>
          <w:sz w:val="24"/>
          <w:szCs w:val="24"/>
        </w:rPr>
        <w:t xml:space="preserve">La desagregación de los gastos generales para los periodos contables terminados el </w:t>
      </w:r>
      <w:r w:rsidR="00B27577">
        <w:rPr>
          <w:rFonts w:ascii="Times New Roman" w:hAnsi="Times New Roman"/>
          <w:sz w:val="24"/>
          <w:szCs w:val="24"/>
        </w:rPr>
        <w:t>31/03/2022 y 31/03/2021</w:t>
      </w:r>
      <w:r w:rsidRPr="008C2C6F">
        <w:rPr>
          <w:rFonts w:ascii="Times New Roman" w:hAnsi="Times New Roman"/>
          <w:sz w:val="24"/>
          <w:szCs w:val="24"/>
        </w:rPr>
        <w:t xml:space="preserve"> es la siguiente:</w:t>
      </w:r>
    </w:p>
    <w:p w14:paraId="4A961D0B" w14:textId="748038D9" w:rsidR="003608CE" w:rsidRDefault="00434345" w:rsidP="00667BC9">
      <w:pPr>
        <w:spacing w:after="0" w:line="240" w:lineRule="auto"/>
        <w:jc w:val="both"/>
        <w:rPr>
          <w:rFonts w:ascii="Times New Roman" w:hAnsi="Times New Roman"/>
          <w:sz w:val="24"/>
          <w:szCs w:val="24"/>
        </w:rPr>
      </w:pPr>
      <w:r w:rsidRPr="00434345">
        <w:rPr>
          <w:noProof/>
        </w:rPr>
        <w:drawing>
          <wp:anchor distT="0" distB="0" distL="114300" distR="114300" simplePos="0" relativeHeight="252753920" behindDoc="1" locked="0" layoutInCell="1" allowOverlap="1" wp14:anchorId="7C7054E6" wp14:editId="5889590F">
            <wp:simplePos x="0" y="0"/>
            <wp:positionH relativeFrom="column">
              <wp:posOffset>0</wp:posOffset>
            </wp:positionH>
            <wp:positionV relativeFrom="paragraph">
              <wp:posOffset>36195</wp:posOffset>
            </wp:positionV>
            <wp:extent cx="5881370" cy="3994150"/>
            <wp:effectExtent l="0" t="0" r="5080" b="635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81370" cy="3994150"/>
                    </a:xfrm>
                    <a:prstGeom prst="rect">
                      <a:avLst/>
                    </a:prstGeom>
                    <a:noFill/>
                    <a:ln>
                      <a:noFill/>
                    </a:ln>
                  </pic:spPr>
                </pic:pic>
              </a:graphicData>
            </a:graphic>
          </wp:anchor>
        </w:drawing>
      </w:r>
    </w:p>
    <w:p w14:paraId="2738E146" w14:textId="50DCD8FA" w:rsidR="00E601E0" w:rsidRDefault="00E601E0" w:rsidP="00667BC9">
      <w:pPr>
        <w:spacing w:after="0" w:line="240" w:lineRule="auto"/>
        <w:jc w:val="both"/>
        <w:rPr>
          <w:rFonts w:ascii="Times New Roman" w:hAnsi="Times New Roman"/>
          <w:sz w:val="24"/>
          <w:szCs w:val="24"/>
        </w:rPr>
      </w:pPr>
    </w:p>
    <w:p w14:paraId="1ED14969" w14:textId="1716A2BF" w:rsidR="00270562" w:rsidRDefault="00270562" w:rsidP="00667BC9">
      <w:pPr>
        <w:spacing w:after="0" w:line="240" w:lineRule="auto"/>
        <w:jc w:val="both"/>
        <w:rPr>
          <w:rFonts w:ascii="Times New Roman" w:hAnsi="Times New Roman"/>
          <w:sz w:val="24"/>
          <w:szCs w:val="24"/>
        </w:rPr>
      </w:pPr>
    </w:p>
    <w:p w14:paraId="39F39ADA" w14:textId="4C91E5E4" w:rsidR="00E06CC6" w:rsidRDefault="00E06CC6" w:rsidP="00667BC9">
      <w:pPr>
        <w:spacing w:after="0" w:line="240" w:lineRule="auto"/>
        <w:jc w:val="both"/>
        <w:rPr>
          <w:noProof/>
          <w:lang w:eastAsia="es-CO"/>
        </w:rPr>
      </w:pPr>
    </w:p>
    <w:p w14:paraId="79756C3F" w14:textId="12E58F12" w:rsidR="00270562" w:rsidRDefault="00270562" w:rsidP="00667BC9">
      <w:pPr>
        <w:spacing w:after="0" w:line="240" w:lineRule="auto"/>
        <w:jc w:val="both"/>
        <w:rPr>
          <w:rFonts w:ascii="Times New Roman" w:hAnsi="Times New Roman"/>
          <w:sz w:val="24"/>
          <w:szCs w:val="24"/>
        </w:rPr>
      </w:pPr>
    </w:p>
    <w:p w14:paraId="6A422BF0" w14:textId="1685DB9B" w:rsidR="00E06CC6" w:rsidRDefault="00E06CC6" w:rsidP="00667BC9">
      <w:pPr>
        <w:spacing w:after="0" w:line="240" w:lineRule="auto"/>
        <w:jc w:val="both"/>
        <w:rPr>
          <w:rFonts w:ascii="Times New Roman" w:hAnsi="Times New Roman"/>
          <w:sz w:val="24"/>
          <w:szCs w:val="24"/>
        </w:rPr>
      </w:pPr>
    </w:p>
    <w:p w14:paraId="190C5C80" w14:textId="23EA2EA6" w:rsidR="00E06CC6" w:rsidRDefault="00E06CC6" w:rsidP="00667BC9">
      <w:pPr>
        <w:spacing w:after="0" w:line="240" w:lineRule="auto"/>
        <w:jc w:val="both"/>
        <w:rPr>
          <w:rFonts w:ascii="Times New Roman" w:hAnsi="Times New Roman"/>
          <w:sz w:val="24"/>
          <w:szCs w:val="24"/>
        </w:rPr>
      </w:pPr>
    </w:p>
    <w:p w14:paraId="75F09DAA" w14:textId="219A2825" w:rsidR="00E06CC6" w:rsidRDefault="00E06CC6" w:rsidP="00667BC9">
      <w:pPr>
        <w:spacing w:after="0" w:line="240" w:lineRule="auto"/>
        <w:jc w:val="both"/>
        <w:rPr>
          <w:rFonts w:ascii="Times New Roman" w:hAnsi="Times New Roman"/>
          <w:sz w:val="24"/>
          <w:szCs w:val="24"/>
        </w:rPr>
      </w:pPr>
    </w:p>
    <w:p w14:paraId="338E5063" w14:textId="443785AF" w:rsidR="00E06CC6" w:rsidRDefault="00E06CC6" w:rsidP="00667BC9">
      <w:pPr>
        <w:spacing w:after="0" w:line="240" w:lineRule="auto"/>
        <w:jc w:val="both"/>
        <w:rPr>
          <w:rFonts w:ascii="Times New Roman" w:hAnsi="Times New Roman"/>
          <w:sz w:val="24"/>
          <w:szCs w:val="24"/>
        </w:rPr>
      </w:pPr>
    </w:p>
    <w:p w14:paraId="1609653E" w14:textId="1A351B11" w:rsidR="00E06CC6" w:rsidRDefault="00E06CC6" w:rsidP="00667BC9">
      <w:pPr>
        <w:spacing w:after="0" w:line="240" w:lineRule="auto"/>
        <w:jc w:val="both"/>
        <w:rPr>
          <w:rFonts w:ascii="Times New Roman" w:hAnsi="Times New Roman"/>
          <w:sz w:val="24"/>
          <w:szCs w:val="24"/>
        </w:rPr>
      </w:pPr>
    </w:p>
    <w:p w14:paraId="0970CE70" w14:textId="68F3D820" w:rsidR="0062515B" w:rsidRDefault="0062515B" w:rsidP="00667BC9">
      <w:pPr>
        <w:spacing w:after="0" w:line="240" w:lineRule="auto"/>
        <w:jc w:val="both"/>
        <w:rPr>
          <w:rFonts w:ascii="Times New Roman" w:hAnsi="Times New Roman"/>
          <w:sz w:val="24"/>
          <w:szCs w:val="24"/>
        </w:rPr>
      </w:pPr>
    </w:p>
    <w:p w14:paraId="39E15B08" w14:textId="3BDF33A5" w:rsidR="0062515B" w:rsidRDefault="0062515B" w:rsidP="00667BC9">
      <w:pPr>
        <w:spacing w:after="0" w:line="240" w:lineRule="auto"/>
        <w:jc w:val="both"/>
        <w:rPr>
          <w:rFonts w:ascii="Times New Roman" w:hAnsi="Times New Roman"/>
          <w:sz w:val="24"/>
          <w:szCs w:val="24"/>
        </w:rPr>
      </w:pPr>
    </w:p>
    <w:p w14:paraId="4B86E948" w14:textId="049012E4" w:rsidR="0062515B" w:rsidRDefault="0062515B" w:rsidP="00667BC9">
      <w:pPr>
        <w:spacing w:after="0" w:line="240" w:lineRule="auto"/>
        <w:jc w:val="both"/>
        <w:rPr>
          <w:rFonts w:ascii="Times New Roman" w:hAnsi="Times New Roman"/>
          <w:sz w:val="24"/>
          <w:szCs w:val="24"/>
        </w:rPr>
      </w:pPr>
    </w:p>
    <w:p w14:paraId="6256DEEB" w14:textId="6DFA49BE" w:rsidR="0062515B" w:rsidRDefault="0062515B" w:rsidP="00667BC9">
      <w:pPr>
        <w:spacing w:after="0" w:line="240" w:lineRule="auto"/>
        <w:jc w:val="both"/>
        <w:rPr>
          <w:rFonts w:ascii="Times New Roman" w:hAnsi="Times New Roman"/>
          <w:sz w:val="24"/>
          <w:szCs w:val="24"/>
        </w:rPr>
      </w:pPr>
    </w:p>
    <w:p w14:paraId="35EBF6F5" w14:textId="20D6F2D9" w:rsidR="007D7B99" w:rsidRDefault="007D7B99" w:rsidP="00667BC9">
      <w:pPr>
        <w:spacing w:after="0" w:line="240" w:lineRule="auto"/>
        <w:jc w:val="both"/>
        <w:rPr>
          <w:rFonts w:ascii="Times New Roman" w:hAnsi="Times New Roman"/>
          <w:sz w:val="24"/>
          <w:szCs w:val="24"/>
        </w:rPr>
      </w:pPr>
    </w:p>
    <w:p w14:paraId="712F37BC" w14:textId="3B7A1D62" w:rsidR="007D7B99" w:rsidRDefault="007D7B99" w:rsidP="00667BC9">
      <w:pPr>
        <w:spacing w:after="0" w:line="240" w:lineRule="auto"/>
        <w:jc w:val="both"/>
        <w:rPr>
          <w:rFonts w:ascii="Times New Roman" w:hAnsi="Times New Roman"/>
          <w:sz w:val="24"/>
          <w:szCs w:val="24"/>
        </w:rPr>
      </w:pPr>
    </w:p>
    <w:p w14:paraId="56C61CA1" w14:textId="09453923" w:rsidR="007D7B99" w:rsidRDefault="007D7B99" w:rsidP="00667BC9">
      <w:pPr>
        <w:spacing w:after="0" w:line="240" w:lineRule="auto"/>
        <w:jc w:val="both"/>
        <w:rPr>
          <w:rFonts w:ascii="Times New Roman" w:hAnsi="Times New Roman"/>
          <w:sz w:val="24"/>
          <w:szCs w:val="24"/>
        </w:rPr>
      </w:pPr>
    </w:p>
    <w:p w14:paraId="3FADB5BA" w14:textId="06217B63" w:rsidR="007D7B99" w:rsidRDefault="007D7B99" w:rsidP="00667BC9">
      <w:pPr>
        <w:spacing w:after="0" w:line="240" w:lineRule="auto"/>
        <w:jc w:val="both"/>
        <w:rPr>
          <w:rFonts w:ascii="Times New Roman" w:hAnsi="Times New Roman"/>
          <w:sz w:val="24"/>
          <w:szCs w:val="24"/>
        </w:rPr>
      </w:pPr>
    </w:p>
    <w:p w14:paraId="4D873E22" w14:textId="58678EE5" w:rsidR="007D7B99" w:rsidRDefault="007D7B99" w:rsidP="00667BC9">
      <w:pPr>
        <w:spacing w:after="0" w:line="240" w:lineRule="auto"/>
        <w:jc w:val="both"/>
        <w:rPr>
          <w:rFonts w:ascii="Times New Roman" w:hAnsi="Times New Roman"/>
          <w:sz w:val="24"/>
          <w:szCs w:val="24"/>
        </w:rPr>
      </w:pPr>
    </w:p>
    <w:p w14:paraId="17E1BA4A" w14:textId="49B46D38" w:rsidR="007D7B99" w:rsidRDefault="007D7B99" w:rsidP="00667BC9">
      <w:pPr>
        <w:spacing w:after="0" w:line="240" w:lineRule="auto"/>
        <w:jc w:val="both"/>
        <w:rPr>
          <w:rFonts w:ascii="Times New Roman" w:hAnsi="Times New Roman"/>
          <w:sz w:val="24"/>
          <w:szCs w:val="24"/>
        </w:rPr>
      </w:pPr>
    </w:p>
    <w:p w14:paraId="29CEC9FF" w14:textId="7D280E81" w:rsidR="007D7B99" w:rsidRDefault="007D7B99" w:rsidP="00667BC9">
      <w:pPr>
        <w:spacing w:after="0" w:line="240" w:lineRule="auto"/>
        <w:jc w:val="both"/>
        <w:rPr>
          <w:rFonts w:ascii="Times New Roman" w:hAnsi="Times New Roman"/>
          <w:sz w:val="24"/>
          <w:szCs w:val="24"/>
        </w:rPr>
      </w:pPr>
    </w:p>
    <w:p w14:paraId="04C16706" w14:textId="77777777" w:rsidR="007D7B99" w:rsidRDefault="007D7B99" w:rsidP="00667BC9">
      <w:pPr>
        <w:spacing w:after="0" w:line="240" w:lineRule="auto"/>
        <w:jc w:val="both"/>
        <w:rPr>
          <w:rFonts w:ascii="Times New Roman" w:hAnsi="Times New Roman"/>
          <w:sz w:val="24"/>
          <w:szCs w:val="24"/>
        </w:rPr>
      </w:pPr>
    </w:p>
    <w:p w14:paraId="3B1B64AC" w14:textId="77777777" w:rsidR="007D7B99" w:rsidRDefault="007D7B99" w:rsidP="00667BC9">
      <w:pPr>
        <w:spacing w:after="0" w:line="240" w:lineRule="auto"/>
        <w:jc w:val="both"/>
        <w:rPr>
          <w:rFonts w:ascii="Times New Roman" w:hAnsi="Times New Roman"/>
          <w:sz w:val="24"/>
          <w:szCs w:val="24"/>
        </w:rPr>
      </w:pPr>
    </w:p>
    <w:p w14:paraId="03454B7A" w14:textId="77777777" w:rsidR="00434345" w:rsidRDefault="00434345" w:rsidP="00667BC9">
      <w:pPr>
        <w:spacing w:after="0" w:line="240" w:lineRule="auto"/>
        <w:jc w:val="both"/>
        <w:rPr>
          <w:rFonts w:ascii="Times New Roman" w:hAnsi="Times New Roman"/>
          <w:sz w:val="24"/>
          <w:szCs w:val="24"/>
        </w:rPr>
      </w:pPr>
    </w:p>
    <w:p w14:paraId="4D0FF2E1" w14:textId="59F96880" w:rsidR="00FA55D9" w:rsidRDefault="00367771" w:rsidP="00667BC9">
      <w:pPr>
        <w:spacing w:after="0" w:line="240" w:lineRule="auto"/>
        <w:jc w:val="both"/>
        <w:rPr>
          <w:rFonts w:ascii="Times New Roman" w:hAnsi="Times New Roman"/>
          <w:sz w:val="24"/>
          <w:szCs w:val="24"/>
        </w:rPr>
      </w:pPr>
      <w:r w:rsidRPr="00367771">
        <w:rPr>
          <w:rFonts w:ascii="Times New Roman" w:hAnsi="Times New Roman"/>
          <w:sz w:val="24"/>
          <w:szCs w:val="24"/>
        </w:rPr>
        <w:t>Los gastos generales están representados principalmente por los siguientes rubros (Honorarios, servicios, arrendamiento, servicios públicos, vigilancia y seguridad, seguros entre otros) par</w:t>
      </w:r>
      <w:r w:rsidR="00201461">
        <w:rPr>
          <w:rFonts w:ascii="Times New Roman" w:hAnsi="Times New Roman"/>
          <w:sz w:val="24"/>
          <w:szCs w:val="24"/>
        </w:rPr>
        <w:t>a</w:t>
      </w:r>
      <w:r w:rsidR="007831C9">
        <w:rPr>
          <w:rFonts w:ascii="Times New Roman" w:hAnsi="Times New Roman"/>
          <w:sz w:val="24"/>
          <w:szCs w:val="24"/>
        </w:rPr>
        <w:t xml:space="preserve"> </w:t>
      </w:r>
      <w:r w:rsidR="00432519">
        <w:rPr>
          <w:rFonts w:ascii="Times New Roman" w:hAnsi="Times New Roman"/>
          <w:sz w:val="24"/>
          <w:szCs w:val="24"/>
        </w:rPr>
        <w:t>marzo 2022</w:t>
      </w:r>
      <w:r w:rsidR="00AD4D7F">
        <w:rPr>
          <w:rFonts w:ascii="Times New Roman" w:hAnsi="Times New Roman"/>
          <w:sz w:val="24"/>
          <w:szCs w:val="24"/>
        </w:rPr>
        <w:t xml:space="preserve"> </w:t>
      </w:r>
      <w:r w:rsidRPr="00367771">
        <w:rPr>
          <w:rFonts w:ascii="Times New Roman" w:hAnsi="Times New Roman"/>
          <w:sz w:val="24"/>
          <w:szCs w:val="24"/>
        </w:rPr>
        <w:t>ascienden a $</w:t>
      </w:r>
      <w:r w:rsidR="00434345">
        <w:rPr>
          <w:rFonts w:ascii="Times New Roman" w:hAnsi="Times New Roman"/>
          <w:sz w:val="24"/>
          <w:szCs w:val="24"/>
        </w:rPr>
        <w:t>4</w:t>
      </w:r>
      <w:r w:rsidR="003469E3">
        <w:rPr>
          <w:rFonts w:ascii="Times New Roman" w:hAnsi="Times New Roman"/>
          <w:sz w:val="24"/>
          <w:szCs w:val="24"/>
        </w:rPr>
        <w:t>.</w:t>
      </w:r>
      <w:r w:rsidR="007D7B99">
        <w:rPr>
          <w:rFonts w:ascii="Times New Roman" w:hAnsi="Times New Roman"/>
          <w:sz w:val="24"/>
          <w:szCs w:val="24"/>
        </w:rPr>
        <w:t>23</w:t>
      </w:r>
      <w:r w:rsidR="00434345">
        <w:rPr>
          <w:rFonts w:ascii="Times New Roman" w:hAnsi="Times New Roman"/>
          <w:sz w:val="24"/>
          <w:szCs w:val="24"/>
        </w:rPr>
        <w:t>6</w:t>
      </w:r>
      <w:r w:rsidR="00252D21">
        <w:rPr>
          <w:rFonts w:ascii="Times New Roman" w:hAnsi="Times New Roman"/>
          <w:sz w:val="24"/>
          <w:szCs w:val="24"/>
        </w:rPr>
        <w:t>.</w:t>
      </w:r>
      <w:r w:rsidR="00434345">
        <w:rPr>
          <w:rFonts w:ascii="Times New Roman" w:hAnsi="Times New Roman"/>
          <w:sz w:val="24"/>
          <w:szCs w:val="24"/>
        </w:rPr>
        <w:t>405</w:t>
      </w:r>
      <w:r w:rsidR="00AD4D7F">
        <w:rPr>
          <w:rFonts w:ascii="Times New Roman" w:hAnsi="Times New Roman"/>
          <w:sz w:val="24"/>
          <w:szCs w:val="24"/>
        </w:rPr>
        <w:t>.</w:t>
      </w:r>
      <w:r w:rsidR="00434345">
        <w:rPr>
          <w:rFonts w:ascii="Times New Roman" w:hAnsi="Times New Roman"/>
          <w:sz w:val="24"/>
          <w:szCs w:val="24"/>
        </w:rPr>
        <w:t>741</w:t>
      </w:r>
      <w:r w:rsidRPr="00367771">
        <w:rPr>
          <w:rFonts w:ascii="Times New Roman" w:hAnsi="Times New Roman"/>
          <w:sz w:val="24"/>
          <w:szCs w:val="24"/>
        </w:rPr>
        <w:t>, presentando un</w:t>
      </w:r>
      <w:r w:rsidR="000C0B28">
        <w:rPr>
          <w:rFonts w:ascii="Times New Roman" w:hAnsi="Times New Roman"/>
          <w:sz w:val="24"/>
          <w:szCs w:val="24"/>
        </w:rPr>
        <w:t xml:space="preserve"> </w:t>
      </w:r>
      <w:r w:rsidR="00434345">
        <w:rPr>
          <w:rFonts w:ascii="Times New Roman" w:hAnsi="Times New Roman"/>
          <w:sz w:val="24"/>
          <w:szCs w:val="24"/>
        </w:rPr>
        <w:t xml:space="preserve">incremento </w:t>
      </w:r>
      <w:r w:rsidR="004B29B8">
        <w:rPr>
          <w:rFonts w:ascii="Times New Roman" w:hAnsi="Times New Roman"/>
          <w:sz w:val="24"/>
          <w:szCs w:val="24"/>
        </w:rPr>
        <w:t xml:space="preserve">del </w:t>
      </w:r>
      <w:r w:rsidR="007D7B99">
        <w:rPr>
          <w:rFonts w:ascii="Times New Roman" w:hAnsi="Times New Roman"/>
          <w:sz w:val="24"/>
          <w:szCs w:val="24"/>
        </w:rPr>
        <w:t>1</w:t>
      </w:r>
      <w:r w:rsidR="004B29B8">
        <w:rPr>
          <w:rFonts w:ascii="Times New Roman" w:hAnsi="Times New Roman"/>
          <w:sz w:val="24"/>
          <w:szCs w:val="24"/>
        </w:rPr>
        <w:t>%</w:t>
      </w:r>
      <w:r w:rsidRPr="00367771">
        <w:rPr>
          <w:rFonts w:ascii="Times New Roman" w:hAnsi="Times New Roman"/>
          <w:sz w:val="24"/>
          <w:szCs w:val="24"/>
        </w:rPr>
        <w:t xml:space="preserve"> con respecto al mismo período del año 20</w:t>
      </w:r>
      <w:r w:rsidR="002E400A">
        <w:rPr>
          <w:rFonts w:ascii="Times New Roman" w:hAnsi="Times New Roman"/>
          <w:sz w:val="24"/>
          <w:szCs w:val="24"/>
        </w:rPr>
        <w:t>2</w:t>
      </w:r>
      <w:r w:rsidR="001B4AAD">
        <w:rPr>
          <w:rFonts w:ascii="Times New Roman" w:hAnsi="Times New Roman"/>
          <w:sz w:val="24"/>
          <w:szCs w:val="24"/>
        </w:rPr>
        <w:t>1</w:t>
      </w:r>
      <w:r w:rsidRPr="00367771">
        <w:rPr>
          <w:rFonts w:ascii="Times New Roman" w:hAnsi="Times New Roman"/>
          <w:sz w:val="24"/>
          <w:szCs w:val="24"/>
        </w:rPr>
        <w:t>; par</w:t>
      </w:r>
      <w:r w:rsidR="00201461">
        <w:rPr>
          <w:rFonts w:ascii="Times New Roman" w:hAnsi="Times New Roman"/>
          <w:sz w:val="24"/>
          <w:szCs w:val="24"/>
        </w:rPr>
        <w:t>a</w:t>
      </w:r>
      <w:r w:rsidR="007831C9">
        <w:rPr>
          <w:rFonts w:ascii="Times New Roman" w:hAnsi="Times New Roman"/>
          <w:sz w:val="24"/>
          <w:szCs w:val="24"/>
        </w:rPr>
        <w:t xml:space="preserve"> </w:t>
      </w:r>
      <w:r w:rsidR="00210FC5">
        <w:rPr>
          <w:rFonts w:ascii="Times New Roman" w:hAnsi="Times New Roman"/>
          <w:sz w:val="24"/>
          <w:szCs w:val="24"/>
        </w:rPr>
        <w:t>marzo del año 2022</w:t>
      </w:r>
      <w:r w:rsidRPr="00367771">
        <w:rPr>
          <w:rFonts w:ascii="Times New Roman" w:hAnsi="Times New Roman"/>
          <w:sz w:val="24"/>
          <w:szCs w:val="24"/>
        </w:rPr>
        <w:t xml:space="preserve"> los gastos generales representan un </w:t>
      </w:r>
      <w:r w:rsidR="007D7B99">
        <w:rPr>
          <w:rFonts w:ascii="Times New Roman" w:hAnsi="Times New Roman"/>
          <w:sz w:val="24"/>
          <w:szCs w:val="24"/>
        </w:rPr>
        <w:t>6</w:t>
      </w:r>
      <w:r w:rsidR="00434345">
        <w:rPr>
          <w:rFonts w:ascii="Times New Roman" w:hAnsi="Times New Roman"/>
          <w:sz w:val="24"/>
          <w:szCs w:val="24"/>
        </w:rPr>
        <w:t>7</w:t>
      </w:r>
      <w:r w:rsidRPr="00367771">
        <w:rPr>
          <w:rFonts w:ascii="Times New Roman" w:hAnsi="Times New Roman"/>
          <w:sz w:val="24"/>
          <w:szCs w:val="24"/>
        </w:rPr>
        <w:t>% sobre el valor total de los gastos administrativos $</w:t>
      </w:r>
      <w:r w:rsidR="00434345">
        <w:rPr>
          <w:rFonts w:ascii="Times New Roman" w:hAnsi="Times New Roman"/>
          <w:sz w:val="24"/>
          <w:szCs w:val="24"/>
        </w:rPr>
        <w:t>6</w:t>
      </w:r>
      <w:r w:rsidR="000C0B28">
        <w:rPr>
          <w:rFonts w:ascii="Times New Roman" w:hAnsi="Times New Roman"/>
          <w:sz w:val="24"/>
          <w:szCs w:val="24"/>
        </w:rPr>
        <w:t>.</w:t>
      </w:r>
      <w:r w:rsidR="007D7B99">
        <w:rPr>
          <w:rFonts w:ascii="Times New Roman" w:hAnsi="Times New Roman"/>
          <w:sz w:val="24"/>
          <w:szCs w:val="24"/>
        </w:rPr>
        <w:t>2</w:t>
      </w:r>
      <w:r w:rsidR="00434345">
        <w:rPr>
          <w:rFonts w:ascii="Times New Roman" w:hAnsi="Times New Roman"/>
          <w:sz w:val="24"/>
          <w:szCs w:val="24"/>
        </w:rPr>
        <w:t>81</w:t>
      </w:r>
      <w:r w:rsidRPr="00367771">
        <w:rPr>
          <w:rFonts w:ascii="Times New Roman" w:hAnsi="Times New Roman"/>
          <w:sz w:val="24"/>
          <w:szCs w:val="24"/>
        </w:rPr>
        <w:t>.</w:t>
      </w:r>
      <w:r w:rsidR="00434345">
        <w:rPr>
          <w:rFonts w:ascii="Times New Roman" w:hAnsi="Times New Roman"/>
          <w:sz w:val="24"/>
          <w:szCs w:val="24"/>
        </w:rPr>
        <w:t>024.890</w:t>
      </w:r>
      <w:r w:rsidR="00C41C3E">
        <w:rPr>
          <w:rFonts w:ascii="Times New Roman" w:hAnsi="Times New Roman"/>
          <w:sz w:val="24"/>
          <w:szCs w:val="24"/>
        </w:rPr>
        <w:t>.</w:t>
      </w:r>
    </w:p>
    <w:p w14:paraId="2482A939" w14:textId="77777777" w:rsidR="000C0B28" w:rsidRDefault="000C0B28" w:rsidP="00667BC9">
      <w:pPr>
        <w:spacing w:after="0" w:line="240" w:lineRule="auto"/>
        <w:jc w:val="both"/>
        <w:rPr>
          <w:rFonts w:ascii="Times New Roman" w:hAnsi="Times New Roman"/>
          <w:sz w:val="24"/>
          <w:szCs w:val="24"/>
        </w:rPr>
      </w:pPr>
    </w:p>
    <w:p w14:paraId="7CEBCF22" w14:textId="683566BF" w:rsidR="00D04DF7" w:rsidRPr="00E738BD" w:rsidRDefault="00771DF3" w:rsidP="00425DA9">
      <w:pPr>
        <w:pStyle w:val="Ttulo2"/>
        <w:numPr>
          <w:ilvl w:val="1"/>
          <w:numId w:val="20"/>
        </w:numPr>
        <w:ind w:left="567" w:hanging="567"/>
      </w:pPr>
      <w:bookmarkStart w:id="106" w:name="_Toc99455372"/>
      <w:r w:rsidRPr="00E738BD">
        <w:t>Deterioro, depreciaciones</w:t>
      </w:r>
      <w:r w:rsidR="00522476" w:rsidRPr="00E738BD">
        <w:t>,</w:t>
      </w:r>
      <w:r w:rsidRPr="00E738BD">
        <w:t xml:space="preserve"> amortizaciones</w:t>
      </w:r>
      <w:r w:rsidR="00522476" w:rsidRPr="00E738BD">
        <w:t xml:space="preserve"> y provisiones</w:t>
      </w:r>
      <w:bookmarkEnd w:id="106"/>
    </w:p>
    <w:p w14:paraId="7D763692" w14:textId="63B3A51F" w:rsidR="00D04DF7" w:rsidRPr="00E2373F" w:rsidRDefault="00434345" w:rsidP="00667BC9">
      <w:pPr>
        <w:spacing w:after="0" w:line="240" w:lineRule="auto"/>
        <w:ind w:left="720"/>
        <w:jc w:val="both"/>
        <w:rPr>
          <w:rFonts w:ascii="Times New Roman" w:hAnsi="Times New Roman"/>
          <w:sz w:val="24"/>
          <w:szCs w:val="24"/>
        </w:rPr>
      </w:pPr>
      <w:r w:rsidRPr="00434345">
        <w:rPr>
          <w:noProof/>
        </w:rPr>
        <w:drawing>
          <wp:anchor distT="0" distB="0" distL="114300" distR="114300" simplePos="0" relativeHeight="252754944" behindDoc="1" locked="0" layoutInCell="1" allowOverlap="1" wp14:anchorId="49E187A7" wp14:editId="1BAD3C67">
            <wp:simplePos x="0" y="0"/>
            <wp:positionH relativeFrom="column">
              <wp:posOffset>-63500</wp:posOffset>
            </wp:positionH>
            <wp:positionV relativeFrom="paragraph">
              <wp:posOffset>134620</wp:posOffset>
            </wp:positionV>
            <wp:extent cx="5881370" cy="1956435"/>
            <wp:effectExtent l="0" t="0" r="5080" b="5715"/>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81370" cy="1956435"/>
                    </a:xfrm>
                    <a:prstGeom prst="rect">
                      <a:avLst/>
                    </a:prstGeom>
                    <a:noFill/>
                    <a:ln>
                      <a:noFill/>
                    </a:ln>
                  </pic:spPr>
                </pic:pic>
              </a:graphicData>
            </a:graphic>
          </wp:anchor>
        </w:drawing>
      </w:r>
    </w:p>
    <w:p w14:paraId="3B187C8B" w14:textId="5950BEEA" w:rsidR="00D04DF7" w:rsidRPr="00E2373F" w:rsidRDefault="00D04DF7" w:rsidP="00667BC9">
      <w:pPr>
        <w:spacing w:after="0" w:line="240" w:lineRule="auto"/>
        <w:jc w:val="center"/>
        <w:rPr>
          <w:rFonts w:ascii="Times New Roman" w:hAnsi="Times New Roman"/>
          <w:sz w:val="24"/>
          <w:szCs w:val="24"/>
        </w:rPr>
      </w:pPr>
    </w:p>
    <w:p w14:paraId="356EC3ED" w14:textId="41257B78" w:rsidR="00D04DF7" w:rsidRPr="00E2373F" w:rsidRDefault="00D04DF7" w:rsidP="00667BC9">
      <w:pPr>
        <w:spacing w:after="0" w:line="240" w:lineRule="auto"/>
        <w:jc w:val="both"/>
        <w:rPr>
          <w:rFonts w:ascii="Times New Roman" w:hAnsi="Times New Roman"/>
          <w:sz w:val="24"/>
          <w:szCs w:val="24"/>
        </w:rPr>
      </w:pPr>
    </w:p>
    <w:p w14:paraId="7C92C0D2" w14:textId="090BD5EE" w:rsidR="00917256" w:rsidRDefault="00917256" w:rsidP="002E400A">
      <w:pPr>
        <w:spacing w:after="0" w:line="240" w:lineRule="auto"/>
        <w:ind w:left="720"/>
        <w:jc w:val="both"/>
        <w:rPr>
          <w:rFonts w:ascii="Times New Roman" w:hAnsi="Times New Roman"/>
          <w:sz w:val="24"/>
          <w:szCs w:val="24"/>
        </w:rPr>
      </w:pPr>
    </w:p>
    <w:p w14:paraId="7B55086A" w14:textId="035D9476" w:rsidR="00917256" w:rsidRDefault="00917256" w:rsidP="002E400A">
      <w:pPr>
        <w:spacing w:after="0" w:line="240" w:lineRule="auto"/>
        <w:ind w:left="720"/>
        <w:jc w:val="both"/>
        <w:rPr>
          <w:rFonts w:ascii="Times New Roman" w:hAnsi="Times New Roman"/>
          <w:sz w:val="24"/>
          <w:szCs w:val="24"/>
        </w:rPr>
      </w:pPr>
    </w:p>
    <w:p w14:paraId="5084B4F8" w14:textId="55063232" w:rsidR="00917256" w:rsidRDefault="00917256" w:rsidP="002E400A">
      <w:pPr>
        <w:spacing w:after="0" w:line="240" w:lineRule="auto"/>
        <w:ind w:left="720"/>
        <w:jc w:val="both"/>
        <w:rPr>
          <w:rFonts w:ascii="Times New Roman" w:hAnsi="Times New Roman"/>
          <w:sz w:val="24"/>
          <w:szCs w:val="24"/>
        </w:rPr>
      </w:pPr>
    </w:p>
    <w:p w14:paraId="64C0BA8E" w14:textId="607FF199" w:rsidR="00917256" w:rsidRDefault="00917256" w:rsidP="002E400A">
      <w:pPr>
        <w:spacing w:after="0" w:line="240" w:lineRule="auto"/>
        <w:ind w:left="720"/>
        <w:jc w:val="both"/>
        <w:rPr>
          <w:rFonts w:ascii="Times New Roman" w:hAnsi="Times New Roman"/>
          <w:sz w:val="24"/>
          <w:szCs w:val="24"/>
        </w:rPr>
      </w:pPr>
    </w:p>
    <w:p w14:paraId="55B4C01E" w14:textId="2DF60029" w:rsidR="00094B9C" w:rsidRDefault="00094B9C" w:rsidP="00667BC9">
      <w:pPr>
        <w:spacing w:after="0" w:line="240" w:lineRule="auto"/>
        <w:jc w:val="both"/>
        <w:rPr>
          <w:rFonts w:ascii="Times New Roman" w:hAnsi="Times New Roman"/>
          <w:sz w:val="24"/>
          <w:szCs w:val="24"/>
        </w:rPr>
      </w:pPr>
    </w:p>
    <w:p w14:paraId="40CD5209" w14:textId="01DAFB95" w:rsidR="00917256" w:rsidRDefault="00917256" w:rsidP="00667BC9">
      <w:pPr>
        <w:spacing w:after="0" w:line="240" w:lineRule="auto"/>
        <w:jc w:val="both"/>
        <w:rPr>
          <w:rFonts w:ascii="Times New Roman" w:hAnsi="Times New Roman"/>
          <w:sz w:val="24"/>
          <w:szCs w:val="24"/>
        </w:rPr>
      </w:pPr>
    </w:p>
    <w:p w14:paraId="31AA3467" w14:textId="40E5CCBB" w:rsidR="00917256" w:rsidRDefault="00917256" w:rsidP="00667BC9">
      <w:pPr>
        <w:spacing w:after="0" w:line="240" w:lineRule="auto"/>
        <w:jc w:val="both"/>
        <w:rPr>
          <w:rFonts w:ascii="Times New Roman" w:hAnsi="Times New Roman"/>
          <w:sz w:val="24"/>
          <w:szCs w:val="24"/>
        </w:rPr>
      </w:pPr>
    </w:p>
    <w:p w14:paraId="4694842F" w14:textId="77777777" w:rsidR="00386932" w:rsidRDefault="00386932" w:rsidP="00667BC9">
      <w:pPr>
        <w:spacing w:after="0" w:line="240" w:lineRule="auto"/>
        <w:jc w:val="both"/>
        <w:rPr>
          <w:rFonts w:ascii="Times New Roman" w:hAnsi="Times New Roman"/>
          <w:sz w:val="24"/>
          <w:szCs w:val="24"/>
        </w:rPr>
      </w:pPr>
    </w:p>
    <w:p w14:paraId="484AC1EB" w14:textId="77777777" w:rsidR="00FB79A5" w:rsidRDefault="00FB79A5" w:rsidP="00667BC9">
      <w:pPr>
        <w:spacing w:after="0" w:line="240" w:lineRule="auto"/>
        <w:jc w:val="both"/>
        <w:rPr>
          <w:rFonts w:ascii="Times New Roman" w:hAnsi="Times New Roman"/>
          <w:sz w:val="24"/>
          <w:szCs w:val="24"/>
        </w:rPr>
      </w:pPr>
    </w:p>
    <w:p w14:paraId="2BD60D85" w14:textId="77777777" w:rsidR="00001EEE" w:rsidRDefault="00001EEE" w:rsidP="00667BC9">
      <w:pPr>
        <w:spacing w:after="0" w:line="240" w:lineRule="auto"/>
        <w:jc w:val="both"/>
        <w:rPr>
          <w:rFonts w:ascii="Times New Roman" w:hAnsi="Times New Roman"/>
          <w:sz w:val="24"/>
          <w:szCs w:val="24"/>
        </w:rPr>
      </w:pPr>
    </w:p>
    <w:p w14:paraId="67284B41" w14:textId="7BE56EBC" w:rsidR="00917256" w:rsidRDefault="005B34D5" w:rsidP="00667BC9">
      <w:pPr>
        <w:spacing w:after="0" w:line="240" w:lineRule="auto"/>
        <w:jc w:val="both"/>
        <w:rPr>
          <w:rFonts w:ascii="Times New Roman" w:hAnsi="Times New Roman"/>
          <w:sz w:val="24"/>
          <w:szCs w:val="24"/>
        </w:rPr>
      </w:pPr>
      <w:r w:rsidRPr="005B34D5">
        <w:rPr>
          <w:rFonts w:ascii="Times New Roman" w:hAnsi="Times New Roman"/>
          <w:sz w:val="24"/>
          <w:szCs w:val="24"/>
        </w:rPr>
        <w:t xml:space="preserve">La cuenta de otros gastos operacionales comprende los cargos por depreciación de la propiedad planta y equipo del periodo contable, </w:t>
      </w:r>
      <w:r w:rsidR="00236036">
        <w:rPr>
          <w:rFonts w:ascii="Times New Roman" w:hAnsi="Times New Roman"/>
          <w:sz w:val="24"/>
          <w:szCs w:val="24"/>
        </w:rPr>
        <w:t xml:space="preserve">provisión de litigios y demandas, </w:t>
      </w:r>
      <w:r w:rsidRPr="005B34D5">
        <w:rPr>
          <w:rFonts w:ascii="Times New Roman" w:hAnsi="Times New Roman"/>
          <w:sz w:val="24"/>
          <w:szCs w:val="24"/>
        </w:rPr>
        <w:t>así como los cargos por amortizaciones de los activos intangibles.</w:t>
      </w:r>
    </w:p>
    <w:p w14:paraId="39B94A63" w14:textId="0E6D7E2D" w:rsidR="003E736E" w:rsidRPr="00E2373F" w:rsidRDefault="003E736E" w:rsidP="00667BC9">
      <w:pPr>
        <w:spacing w:after="0" w:line="240" w:lineRule="auto"/>
        <w:jc w:val="both"/>
        <w:rPr>
          <w:rFonts w:ascii="Times New Roman" w:hAnsi="Times New Roman"/>
          <w:sz w:val="24"/>
          <w:szCs w:val="24"/>
        </w:rPr>
      </w:pPr>
    </w:p>
    <w:p w14:paraId="74673EE0" w14:textId="1787679D" w:rsidR="003E736E" w:rsidRDefault="008009BC" w:rsidP="00425DA9">
      <w:pPr>
        <w:pStyle w:val="Ttulo2"/>
        <w:numPr>
          <w:ilvl w:val="1"/>
          <w:numId w:val="20"/>
        </w:numPr>
        <w:ind w:left="567" w:hanging="567"/>
      </w:pPr>
      <w:bookmarkStart w:id="107" w:name="_Toc99455373"/>
      <w:r w:rsidRPr="00E738BD">
        <w:t>Otros gastos</w:t>
      </w:r>
      <w:bookmarkEnd w:id="107"/>
    </w:p>
    <w:p w14:paraId="66574A83" w14:textId="409EA01E" w:rsidR="00251755" w:rsidRPr="00251755" w:rsidRDefault="00434345" w:rsidP="00251755">
      <w:pPr>
        <w:spacing w:after="0" w:line="240" w:lineRule="auto"/>
      </w:pPr>
      <w:r w:rsidRPr="00434345">
        <w:rPr>
          <w:noProof/>
        </w:rPr>
        <w:drawing>
          <wp:anchor distT="0" distB="0" distL="114300" distR="114300" simplePos="0" relativeHeight="252755968" behindDoc="1" locked="0" layoutInCell="1" allowOverlap="1" wp14:anchorId="2BC9A22A" wp14:editId="10BE4E43">
            <wp:simplePos x="0" y="0"/>
            <wp:positionH relativeFrom="column">
              <wp:posOffset>0</wp:posOffset>
            </wp:positionH>
            <wp:positionV relativeFrom="paragraph">
              <wp:posOffset>40005</wp:posOffset>
            </wp:positionV>
            <wp:extent cx="5881370" cy="2470150"/>
            <wp:effectExtent l="0" t="0" r="5080" b="635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81370" cy="2470150"/>
                    </a:xfrm>
                    <a:prstGeom prst="rect">
                      <a:avLst/>
                    </a:prstGeom>
                    <a:noFill/>
                    <a:ln>
                      <a:noFill/>
                    </a:ln>
                  </pic:spPr>
                </pic:pic>
              </a:graphicData>
            </a:graphic>
            <wp14:sizeRelV relativeFrom="margin">
              <wp14:pctHeight>0</wp14:pctHeight>
            </wp14:sizeRelV>
          </wp:anchor>
        </w:drawing>
      </w:r>
    </w:p>
    <w:p w14:paraId="37E41149" w14:textId="5B659449" w:rsidR="003E736E" w:rsidRDefault="003E736E" w:rsidP="00F054E6">
      <w:pPr>
        <w:spacing w:after="0" w:line="240" w:lineRule="auto"/>
        <w:jc w:val="both"/>
        <w:rPr>
          <w:rFonts w:ascii="Times New Roman" w:hAnsi="Times New Roman"/>
          <w:sz w:val="24"/>
          <w:szCs w:val="24"/>
        </w:rPr>
      </w:pPr>
    </w:p>
    <w:p w14:paraId="4A488A31" w14:textId="6507EFD9" w:rsidR="00F054E6" w:rsidRDefault="00F054E6" w:rsidP="00F054E6">
      <w:pPr>
        <w:spacing w:after="0" w:line="240" w:lineRule="auto"/>
        <w:jc w:val="both"/>
        <w:rPr>
          <w:rFonts w:ascii="Times New Roman" w:hAnsi="Times New Roman"/>
          <w:sz w:val="24"/>
          <w:szCs w:val="24"/>
        </w:rPr>
      </w:pPr>
    </w:p>
    <w:p w14:paraId="19BC47E2" w14:textId="0DBAE535" w:rsidR="00464B2E" w:rsidRDefault="00464B2E" w:rsidP="00F054E6">
      <w:pPr>
        <w:spacing w:after="0" w:line="240" w:lineRule="auto"/>
        <w:jc w:val="both"/>
        <w:rPr>
          <w:rFonts w:ascii="Times New Roman" w:hAnsi="Times New Roman"/>
          <w:sz w:val="24"/>
          <w:szCs w:val="24"/>
        </w:rPr>
      </w:pPr>
    </w:p>
    <w:p w14:paraId="2686DE9E" w14:textId="6508E39D" w:rsidR="00FB79A5" w:rsidRDefault="00FB79A5" w:rsidP="00F054E6">
      <w:pPr>
        <w:spacing w:after="0" w:line="240" w:lineRule="auto"/>
        <w:jc w:val="both"/>
        <w:rPr>
          <w:rFonts w:ascii="Times New Roman" w:hAnsi="Times New Roman"/>
          <w:sz w:val="24"/>
          <w:szCs w:val="24"/>
        </w:rPr>
      </w:pPr>
    </w:p>
    <w:p w14:paraId="5B3F30B4" w14:textId="223C4A20" w:rsidR="00FB79A5" w:rsidRDefault="00FB79A5" w:rsidP="00F054E6">
      <w:pPr>
        <w:spacing w:after="0" w:line="240" w:lineRule="auto"/>
        <w:jc w:val="both"/>
        <w:rPr>
          <w:rFonts w:ascii="Times New Roman" w:hAnsi="Times New Roman"/>
          <w:sz w:val="24"/>
          <w:szCs w:val="24"/>
        </w:rPr>
      </w:pPr>
    </w:p>
    <w:p w14:paraId="7DF48297" w14:textId="45E467C9" w:rsidR="00FB79A5" w:rsidRDefault="00FB79A5" w:rsidP="00F054E6">
      <w:pPr>
        <w:spacing w:after="0" w:line="240" w:lineRule="auto"/>
        <w:jc w:val="both"/>
        <w:rPr>
          <w:rFonts w:ascii="Times New Roman" w:hAnsi="Times New Roman"/>
          <w:sz w:val="24"/>
          <w:szCs w:val="24"/>
        </w:rPr>
      </w:pPr>
    </w:p>
    <w:p w14:paraId="27BDE17E" w14:textId="3A805B9E" w:rsidR="00FB79A5" w:rsidRDefault="00FB79A5" w:rsidP="00F054E6">
      <w:pPr>
        <w:spacing w:after="0" w:line="240" w:lineRule="auto"/>
        <w:jc w:val="both"/>
        <w:rPr>
          <w:rFonts w:ascii="Times New Roman" w:hAnsi="Times New Roman"/>
          <w:sz w:val="24"/>
          <w:szCs w:val="24"/>
        </w:rPr>
      </w:pPr>
    </w:p>
    <w:p w14:paraId="694782C1" w14:textId="2C594033" w:rsidR="00FB79A5" w:rsidRDefault="00FB79A5" w:rsidP="00F054E6">
      <w:pPr>
        <w:spacing w:after="0" w:line="240" w:lineRule="auto"/>
        <w:jc w:val="both"/>
        <w:rPr>
          <w:rFonts w:ascii="Times New Roman" w:hAnsi="Times New Roman"/>
          <w:sz w:val="24"/>
          <w:szCs w:val="24"/>
        </w:rPr>
      </w:pPr>
    </w:p>
    <w:p w14:paraId="67A57D37" w14:textId="1026B262" w:rsidR="00B24848" w:rsidRDefault="00B24848" w:rsidP="00F054E6">
      <w:pPr>
        <w:spacing w:after="0" w:line="240" w:lineRule="auto"/>
        <w:jc w:val="both"/>
        <w:rPr>
          <w:rFonts w:ascii="Times New Roman" w:hAnsi="Times New Roman"/>
          <w:sz w:val="24"/>
          <w:szCs w:val="24"/>
        </w:rPr>
      </w:pPr>
    </w:p>
    <w:p w14:paraId="4A9679D7" w14:textId="4CF37E28" w:rsidR="00B24848" w:rsidRDefault="00B24848" w:rsidP="00F054E6">
      <w:pPr>
        <w:spacing w:after="0" w:line="240" w:lineRule="auto"/>
        <w:jc w:val="both"/>
        <w:rPr>
          <w:rFonts w:ascii="Times New Roman" w:hAnsi="Times New Roman"/>
          <w:sz w:val="24"/>
          <w:szCs w:val="24"/>
        </w:rPr>
      </w:pPr>
    </w:p>
    <w:p w14:paraId="343BA364" w14:textId="48B6CE4B" w:rsidR="00C4285E" w:rsidRDefault="00C4285E" w:rsidP="00F054E6">
      <w:pPr>
        <w:spacing w:after="0" w:line="240" w:lineRule="auto"/>
        <w:jc w:val="both"/>
        <w:rPr>
          <w:rFonts w:ascii="Times New Roman" w:hAnsi="Times New Roman"/>
          <w:sz w:val="24"/>
          <w:szCs w:val="24"/>
        </w:rPr>
      </w:pPr>
    </w:p>
    <w:p w14:paraId="7377BFFE" w14:textId="77777777" w:rsidR="00434345" w:rsidRDefault="00434345" w:rsidP="00A50D0C">
      <w:pPr>
        <w:pStyle w:val="Prrafodelista"/>
        <w:spacing w:after="0" w:line="240" w:lineRule="auto"/>
        <w:ind w:left="0"/>
        <w:jc w:val="both"/>
        <w:rPr>
          <w:rFonts w:ascii="Times New Roman" w:hAnsi="Times New Roman"/>
          <w:bCs/>
          <w:sz w:val="24"/>
          <w:szCs w:val="24"/>
        </w:rPr>
      </w:pPr>
    </w:p>
    <w:p w14:paraId="1EB8933F" w14:textId="77777777" w:rsidR="00434345" w:rsidRDefault="00434345" w:rsidP="00A50D0C">
      <w:pPr>
        <w:pStyle w:val="Prrafodelista"/>
        <w:spacing w:after="0" w:line="240" w:lineRule="auto"/>
        <w:ind w:left="0"/>
        <w:jc w:val="both"/>
        <w:rPr>
          <w:rFonts w:ascii="Times New Roman" w:hAnsi="Times New Roman"/>
          <w:bCs/>
          <w:sz w:val="24"/>
          <w:szCs w:val="24"/>
        </w:rPr>
      </w:pPr>
    </w:p>
    <w:p w14:paraId="50D2A833" w14:textId="77777777" w:rsidR="00434345" w:rsidRDefault="00434345" w:rsidP="00A50D0C">
      <w:pPr>
        <w:pStyle w:val="Prrafodelista"/>
        <w:spacing w:after="0" w:line="240" w:lineRule="auto"/>
        <w:ind w:left="0"/>
        <w:jc w:val="both"/>
        <w:rPr>
          <w:rFonts w:ascii="Times New Roman" w:hAnsi="Times New Roman"/>
          <w:bCs/>
          <w:sz w:val="24"/>
          <w:szCs w:val="24"/>
        </w:rPr>
      </w:pPr>
    </w:p>
    <w:p w14:paraId="593BCFB3" w14:textId="7A51CA3B" w:rsidR="009644A8" w:rsidRPr="009644A8" w:rsidRDefault="009644A8" w:rsidP="00A50D0C">
      <w:pPr>
        <w:pStyle w:val="Prrafodelista"/>
        <w:spacing w:after="0" w:line="240" w:lineRule="auto"/>
        <w:ind w:left="0"/>
        <w:jc w:val="both"/>
        <w:rPr>
          <w:rFonts w:ascii="Times New Roman" w:hAnsi="Times New Roman"/>
          <w:bCs/>
          <w:sz w:val="24"/>
          <w:szCs w:val="24"/>
        </w:rPr>
      </w:pPr>
      <w:r w:rsidRPr="009644A8">
        <w:rPr>
          <w:rFonts w:ascii="Times New Roman" w:hAnsi="Times New Roman"/>
          <w:bCs/>
          <w:sz w:val="24"/>
          <w:szCs w:val="24"/>
        </w:rPr>
        <w:t>Al cierre del periodo, la inversión se actualiz</w:t>
      </w:r>
      <w:r w:rsidR="00902361">
        <w:rPr>
          <w:rFonts w:ascii="Times New Roman" w:hAnsi="Times New Roman"/>
          <w:bCs/>
          <w:sz w:val="24"/>
          <w:szCs w:val="24"/>
        </w:rPr>
        <w:t>ó</w:t>
      </w:r>
      <w:r w:rsidRPr="009644A8">
        <w:rPr>
          <w:rFonts w:ascii="Times New Roman" w:hAnsi="Times New Roman"/>
          <w:bCs/>
          <w:sz w:val="24"/>
          <w:szCs w:val="24"/>
        </w:rPr>
        <w:t xml:space="preserve"> por la valoración realizada por el fondo, las variaciones pueden tener rentabilidades que pueden ser positivas o negativas y de esa forma debe reconocerse en la información financiera, por lo que se refleja las variaciones positivas (como una cuenta del ingreso) y en otras las variaciones negativas (como una cuenta del gasto).</w:t>
      </w:r>
    </w:p>
    <w:p w14:paraId="20DBBB7E" w14:textId="55B9DD3F" w:rsidR="008F1FEA" w:rsidRDefault="008F1FEA" w:rsidP="00447F37">
      <w:pPr>
        <w:spacing w:after="0" w:line="240" w:lineRule="auto"/>
        <w:jc w:val="both"/>
        <w:rPr>
          <w:rFonts w:ascii="Times New Roman" w:hAnsi="Times New Roman"/>
          <w:bCs/>
          <w:sz w:val="24"/>
          <w:szCs w:val="24"/>
        </w:rPr>
      </w:pPr>
    </w:p>
    <w:p w14:paraId="53009954" w14:textId="7995D015" w:rsidR="00447F37" w:rsidRDefault="00FB79A5" w:rsidP="00447F37">
      <w:pPr>
        <w:spacing w:after="0" w:line="240" w:lineRule="auto"/>
        <w:jc w:val="both"/>
        <w:rPr>
          <w:rFonts w:ascii="Times New Roman" w:hAnsi="Times New Roman"/>
          <w:bCs/>
          <w:sz w:val="24"/>
          <w:szCs w:val="24"/>
        </w:rPr>
      </w:pPr>
      <w:r>
        <w:rPr>
          <w:rFonts w:ascii="Times New Roman" w:hAnsi="Times New Roman"/>
          <w:bCs/>
          <w:sz w:val="24"/>
          <w:szCs w:val="24"/>
        </w:rPr>
        <w:lastRenderedPageBreak/>
        <w:t>Los g</w:t>
      </w:r>
      <w:r w:rsidR="00447F37" w:rsidRPr="00447F37">
        <w:rPr>
          <w:rFonts w:ascii="Times New Roman" w:hAnsi="Times New Roman"/>
          <w:bCs/>
          <w:sz w:val="24"/>
          <w:szCs w:val="24"/>
        </w:rPr>
        <w:t xml:space="preserve">astos no operacionales </w:t>
      </w:r>
      <w:r>
        <w:rPr>
          <w:rFonts w:ascii="Times New Roman" w:hAnsi="Times New Roman"/>
          <w:bCs/>
          <w:sz w:val="24"/>
          <w:szCs w:val="24"/>
        </w:rPr>
        <w:t>están</w:t>
      </w:r>
      <w:r w:rsidR="00447F37" w:rsidRPr="00447F37">
        <w:rPr>
          <w:rFonts w:ascii="Times New Roman" w:hAnsi="Times New Roman"/>
          <w:bCs/>
          <w:sz w:val="24"/>
          <w:szCs w:val="24"/>
        </w:rPr>
        <w:t xml:space="preserve"> representado</w:t>
      </w:r>
      <w:r>
        <w:rPr>
          <w:rFonts w:ascii="Times New Roman" w:hAnsi="Times New Roman"/>
          <w:bCs/>
          <w:sz w:val="24"/>
          <w:szCs w:val="24"/>
        </w:rPr>
        <w:t>s</w:t>
      </w:r>
      <w:r w:rsidR="00447F37" w:rsidRPr="00447F37">
        <w:rPr>
          <w:rFonts w:ascii="Times New Roman" w:hAnsi="Times New Roman"/>
          <w:bCs/>
          <w:sz w:val="24"/>
          <w:szCs w:val="24"/>
        </w:rPr>
        <w:t xml:space="preserve"> principalmente por las provisiones de litigios y demandas en contra de la entidad, </w:t>
      </w:r>
      <w:r>
        <w:rPr>
          <w:rFonts w:ascii="Times New Roman" w:hAnsi="Times New Roman"/>
          <w:bCs/>
          <w:sz w:val="24"/>
          <w:szCs w:val="24"/>
        </w:rPr>
        <w:t>ajuste por diferencias en cambio, p</w:t>
      </w:r>
      <w:r w:rsidRPr="00FB79A5">
        <w:rPr>
          <w:rFonts w:ascii="Times New Roman" w:hAnsi="Times New Roman"/>
          <w:bCs/>
          <w:sz w:val="24"/>
          <w:szCs w:val="24"/>
        </w:rPr>
        <w:t>érdida por baja en cuentas de activos no financieros</w:t>
      </w:r>
      <w:r w:rsidR="00447F37" w:rsidRPr="00447F37">
        <w:rPr>
          <w:rFonts w:ascii="Times New Roman" w:hAnsi="Times New Roman"/>
          <w:bCs/>
          <w:sz w:val="24"/>
          <w:szCs w:val="24"/>
        </w:rPr>
        <w:t>.</w:t>
      </w:r>
    </w:p>
    <w:p w14:paraId="07AE5639" w14:textId="09850C70" w:rsidR="00BC7A82" w:rsidRPr="00447F37" w:rsidRDefault="00BC7A82" w:rsidP="00447F37">
      <w:pPr>
        <w:spacing w:after="0" w:line="240" w:lineRule="auto"/>
        <w:jc w:val="both"/>
        <w:rPr>
          <w:rFonts w:ascii="Times New Roman" w:hAnsi="Times New Roman"/>
          <w:bCs/>
          <w:sz w:val="24"/>
          <w:szCs w:val="24"/>
        </w:rPr>
      </w:pPr>
    </w:p>
    <w:p w14:paraId="0813D43B" w14:textId="3F726D43" w:rsidR="00557DF9" w:rsidRPr="00E2373F" w:rsidRDefault="00C91FED" w:rsidP="00073315">
      <w:pPr>
        <w:pStyle w:val="Ttulo1"/>
      </w:pPr>
      <w:bookmarkStart w:id="108" w:name="_Toc99455374"/>
      <w:r w:rsidRPr="00E2373F">
        <w:t xml:space="preserve">NOTA </w:t>
      </w:r>
      <w:r w:rsidR="009D333A">
        <w:t>30</w:t>
      </w:r>
      <w:r w:rsidRPr="00E2373F">
        <w:t>. COSTOS</w:t>
      </w:r>
      <w:r w:rsidR="00DE3DFC" w:rsidRPr="00E2373F">
        <w:t xml:space="preserve"> DE VENTAS</w:t>
      </w:r>
      <w:bookmarkEnd w:id="108"/>
    </w:p>
    <w:p w14:paraId="38ADF5AF" w14:textId="254E9F41" w:rsidR="00ED5C3E" w:rsidRPr="00E2373F" w:rsidRDefault="00ED5C3E" w:rsidP="00667BC9">
      <w:pPr>
        <w:spacing w:after="0" w:line="240" w:lineRule="auto"/>
        <w:jc w:val="both"/>
        <w:rPr>
          <w:rFonts w:ascii="Times New Roman" w:hAnsi="Times New Roman"/>
          <w:b/>
          <w:sz w:val="24"/>
          <w:szCs w:val="24"/>
        </w:rPr>
      </w:pPr>
    </w:p>
    <w:p w14:paraId="7BC1950D" w14:textId="2B66249D" w:rsidR="00C91FED" w:rsidRDefault="00853E60" w:rsidP="00167F86">
      <w:pPr>
        <w:pStyle w:val="Ttulo2"/>
        <w:numPr>
          <w:ilvl w:val="0"/>
          <w:numId w:val="0"/>
        </w:numPr>
        <w:spacing w:line="240" w:lineRule="auto"/>
      </w:pPr>
      <w:bookmarkStart w:id="109" w:name="_Toc99455375"/>
      <w:r w:rsidRPr="00E738BD">
        <w:t>Composición</w:t>
      </w:r>
      <w:bookmarkEnd w:id="109"/>
    </w:p>
    <w:p w14:paraId="6AC26752" w14:textId="1885038D" w:rsidR="00167F86" w:rsidRDefault="00167F86" w:rsidP="00167F86">
      <w:pPr>
        <w:spacing w:after="0" w:line="240" w:lineRule="auto"/>
        <w:rPr>
          <w:rFonts w:ascii="Times New Roman" w:hAnsi="Times New Roman"/>
        </w:rPr>
      </w:pPr>
    </w:p>
    <w:p w14:paraId="1949C64D" w14:textId="3D6939D0" w:rsidR="00E964F8" w:rsidRDefault="007311F2" w:rsidP="00CB746B">
      <w:pPr>
        <w:rPr>
          <w:rFonts w:ascii="Times New Roman" w:hAnsi="Times New Roman"/>
        </w:rPr>
      </w:pPr>
      <w:r w:rsidRPr="00167F86">
        <w:rPr>
          <w:rFonts w:ascii="Times New Roman" w:hAnsi="Times New Roman"/>
        </w:rPr>
        <w:t xml:space="preserve">La desagregación de los Costos de ventas de servicios presentados en el estado de resultados para los periodos contables terminados el </w:t>
      </w:r>
      <w:r w:rsidR="00B27577">
        <w:rPr>
          <w:rFonts w:ascii="Times New Roman" w:hAnsi="Times New Roman"/>
        </w:rPr>
        <w:t>31/03/2022 y 31/03/2021</w:t>
      </w:r>
      <w:r w:rsidRPr="00167F86">
        <w:rPr>
          <w:rFonts w:ascii="Times New Roman" w:hAnsi="Times New Roman"/>
        </w:rPr>
        <w:t xml:space="preserve"> es la siguiente:</w:t>
      </w:r>
    </w:p>
    <w:p w14:paraId="03279980" w14:textId="7EBF3078" w:rsidR="00CB746B" w:rsidRDefault="00434345" w:rsidP="00CB746B">
      <w:r w:rsidRPr="00434345">
        <w:rPr>
          <w:noProof/>
        </w:rPr>
        <w:drawing>
          <wp:anchor distT="0" distB="0" distL="114300" distR="114300" simplePos="0" relativeHeight="252756992" behindDoc="1" locked="0" layoutInCell="1" allowOverlap="1" wp14:anchorId="046F620D" wp14:editId="202C93E1">
            <wp:simplePos x="0" y="0"/>
            <wp:positionH relativeFrom="column">
              <wp:posOffset>-50800</wp:posOffset>
            </wp:positionH>
            <wp:positionV relativeFrom="paragraph">
              <wp:posOffset>-1270</wp:posOffset>
            </wp:positionV>
            <wp:extent cx="5881370" cy="909320"/>
            <wp:effectExtent l="0" t="0" r="5080" b="508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81370" cy="909320"/>
                    </a:xfrm>
                    <a:prstGeom prst="rect">
                      <a:avLst/>
                    </a:prstGeom>
                    <a:noFill/>
                    <a:ln>
                      <a:noFill/>
                    </a:ln>
                  </pic:spPr>
                </pic:pic>
              </a:graphicData>
            </a:graphic>
          </wp:anchor>
        </w:drawing>
      </w:r>
    </w:p>
    <w:p w14:paraId="1C47540B" w14:textId="77777777" w:rsidR="00A3093A" w:rsidRPr="00CB746B" w:rsidRDefault="00A3093A" w:rsidP="00CB746B"/>
    <w:p w14:paraId="00296614" w14:textId="77777777" w:rsidR="00ED5C3E" w:rsidRDefault="00ED5C3E" w:rsidP="00667BC9">
      <w:pPr>
        <w:pStyle w:val="Prrafodelista"/>
        <w:spacing w:after="0" w:line="240" w:lineRule="auto"/>
        <w:jc w:val="both"/>
        <w:rPr>
          <w:rFonts w:ascii="Times New Roman" w:hAnsi="Times New Roman"/>
          <w:sz w:val="24"/>
          <w:szCs w:val="24"/>
        </w:rPr>
      </w:pPr>
    </w:p>
    <w:p w14:paraId="15BA069C" w14:textId="77777777" w:rsidR="001C054F" w:rsidRDefault="001C054F" w:rsidP="00667BC9">
      <w:pPr>
        <w:pStyle w:val="Prrafodelista"/>
        <w:spacing w:after="0" w:line="240" w:lineRule="auto"/>
        <w:jc w:val="both"/>
        <w:rPr>
          <w:rFonts w:ascii="Times New Roman" w:hAnsi="Times New Roman"/>
          <w:sz w:val="24"/>
          <w:szCs w:val="24"/>
        </w:rPr>
      </w:pPr>
    </w:p>
    <w:p w14:paraId="3500D6AE" w14:textId="77777777" w:rsidR="001C054F" w:rsidRDefault="001C054F" w:rsidP="00667BC9">
      <w:pPr>
        <w:pStyle w:val="Prrafodelista"/>
        <w:spacing w:after="0" w:line="240" w:lineRule="auto"/>
        <w:jc w:val="both"/>
        <w:rPr>
          <w:rFonts w:ascii="Times New Roman" w:hAnsi="Times New Roman"/>
          <w:sz w:val="24"/>
          <w:szCs w:val="24"/>
        </w:rPr>
      </w:pPr>
    </w:p>
    <w:p w14:paraId="7714A4DB" w14:textId="1A822751" w:rsidR="00851F99" w:rsidRPr="00E738BD" w:rsidRDefault="00851F99" w:rsidP="00425DA9">
      <w:pPr>
        <w:pStyle w:val="Ttulo2"/>
        <w:numPr>
          <w:ilvl w:val="1"/>
          <w:numId w:val="21"/>
        </w:numPr>
        <w:ind w:left="567" w:hanging="567"/>
      </w:pPr>
      <w:bookmarkStart w:id="110" w:name="_Toc99455376"/>
      <w:r w:rsidRPr="00E738BD">
        <w:t>Costo de ventas de servicios</w:t>
      </w:r>
      <w:bookmarkEnd w:id="110"/>
    </w:p>
    <w:p w14:paraId="6E055E0A" w14:textId="0E2AFE88" w:rsidR="00851F99" w:rsidRPr="00E2373F" w:rsidRDefault="00434345" w:rsidP="00667BC9">
      <w:pPr>
        <w:spacing w:after="0" w:line="240" w:lineRule="auto"/>
        <w:ind w:left="720"/>
        <w:jc w:val="both"/>
        <w:rPr>
          <w:rFonts w:ascii="Times New Roman" w:hAnsi="Times New Roman"/>
          <w:sz w:val="24"/>
          <w:szCs w:val="24"/>
        </w:rPr>
      </w:pPr>
      <w:r w:rsidRPr="00434345">
        <w:rPr>
          <w:noProof/>
        </w:rPr>
        <w:drawing>
          <wp:anchor distT="0" distB="0" distL="114300" distR="114300" simplePos="0" relativeHeight="252758016" behindDoc="1" locked="0" layoutInCell="1" allowOverlap="1" wp14:anchorId="45BA4EA3" wp14:editId="38E2AAB5">
            <wp:simplePos x="0" y="0"/>
            <wp:positionH relativeFrom="column">
              <wp:posOffset>76200</wp:posOffset>
            </wp:positionH>
            <wp:positionV relativeFrom="paragraph">
              <wp:posOffset>52705</wp:posOffset>
            </wp:positionV>
            <wp:extent cx="5365750" cy="1885950"/>
            <wp:effectExtent l="0" t="0" r="635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65750" cy="1885950"/>
                    </a:xfrm>
                    <a:prstGeom prst="rect">
                      <a:avLst/>
                    </a:prstGeom>
                    <a:noFill/>
                    <a:ln>
                      <a:noFill/>
                    </a:ln>
                  </pic:spPr>
                </pic:pic>
              </a:graphicData>
            </a:graphic>
          </wp:anchor>
        </w:drawing>
      </w:r>
    </w:p>
    <w:p w14:paraId="3F7DE9D9" w14:textId="73D2407C" w:rsidR="0065161C" w:rsidRDefault="0065161C" w:rsidP="00667BC9">
      <w:pPr>
        <w:spacing w:after="0" w:line="240" w:lineRule="auto"/>
        <w:jc w:val="both"/>
        <w:rPr>
          <w:rFonts w:ascii="Times New Roman" w:hAnsi="Times New Roman"/>
          <w:b/>
          <w:sz w:val="24"/>
          <w:szCs w:val="24"/>
        </w:rPr>
      </w:pPr>
    </w:p>
    <w:p w14:paraId="5C8E7F7F" w14:textId="61BE0A85" w:rsidR="00297B5B" w:rsidRDefault="00297B5B" w:rsidP="00667BC9">
      <w:pPr>
        <w:spacing w:after="0" w:line="240" w:lineRule="auto"/>
        <w:jc w:val="both"/>
        <w:rPr>
          <w:rFonts w:ascii="Times New Roman" w:hAnsi="Times New Roman"/>
          <w:b/>
          <w:sz w:val="24"/>
          <w:szCs w:val="24"/>
        </w:rPr>
      </w:pPr>
    </w:p>
    <w:p w14:paraId="52A672EC" w14:textId="5735361B" w:rsidR="00297B5B" w:rsidRDefault="00297B5B" w:rsidP="00667BC9">
      <w:pPr>
        <w:spacing w:after="0" w:line="240" w:lineRule="auto"/>
        <w:jc w:val="both"/>
        <w:rPr>
          <w:rFonts w:ascii="Times New Roman" w:hAnsi="Times New Roman"/>
          <w:b/>
          <w:sz w:val="24"/>
          <w:szCs w:val="24"/>
        </w:rPr>
      </w:pPr>
    </w:p>
    <w:p w14:paraId="2F697F9A" w14:textId="49CF92F8" w:rsidR="00297B5B" w:rsidRDefault="00297B5B" w:rsidP="00667BC9">
      <w:pPr>
        <w:spacing w:after="0" w:line="240" w:lineRule="auto"/>
        <w:jc w:val="both"/>
        <w:rPr>
          <w:rFonts w:ascii="Times New Roman" w:hAnsi="Times New Roman"/>
          <w:b/>
          <w:sz w:val="24"/>
          <w:szCs w:val="24"/>
        </w:rPr>
      </w:pPr>
    </w:p>
    <w:p w14:paraId="3B46052B" w14:textId="678A918B" w:rsidR="00297B5B" w:rsidRDefault="00297B5B" w:rsidP="00667BC9">
      <w:pPr>
        <w:spacing w:after="0" w:line="240" w:lineRule="auto"/>
        <w:jc w:val="both"/>
        <w:rPr>
          <w:rFonts w:ascii="Times New Roman" w:hAnsi="Times New Roman"/>
          <w:b/>
          <w:sz w:val="24"/>
          <w:szCs w:val="24"/>
        </w:rPr>
      </w:pPr>
    </w:p>
    <w:p w14:paraId="5A8EA2C9" w14:textId="7EA2C2A2" w:rsidR="00297B5B" w:rsidRDefault="00297B5B" w:rsidP="00667BC9">
      <w:pPr>
        <w:spacing w:after="0" w:line="240" w:lineRule="auto"/>
        <w:jc w:val="both"/>
        <w:rPr>
          <w:rFonts w:ascii="Times New Roman" w:hAnsi="Times New Roman"/>
          <w:b/>
          <w:sz w:val="24"/>
          <w:szCs w:val="24"/>
        </w:rPr>
      </w:pPr>
    </w:p>
    <w:p w14:paraId="184881CF" w14:textId="77777777" w:rsidR="00B24848" w:rsidRDefault="00B24848" w:rsidP="00ED7D95">
      <w:pPr>
        <w:spacing w:after="0" w:line="240" w:lineRule="auto"/>
        <w:jc w:val="both"/>
        <w:rPr>
          <w:rFonts w:ascii="Times New Roman" w:hAnsi="Times New Roman"/>
          <w:bCs/>
          <w:sz w:val="24"/>
          <w:szCs w:val="24"/>
        </w:rPr>
      </w:pPr>
    </w:p>
    <w:p w14:paraId="4F2F57C2" w14:textId="77777777" w:rsidR="00B24848" w:rsidRDefault="00B24848" w:rsidP="00ED7D95">
      <w:pPr>
        <w:spacing w:after="0" w:line="240" w:lineRule="auto"/>
        <w:jc w:val="both"/>
        <w:rPr>
          <w:rFonts w:ascii="Times New Roman" w:hAnsi="Times New Roman"/>
          <w:bCs/>
          <w:sz w:val="24"/>
          <w:szCs w:val="24"/>
        </w:rPr>
      </w:pPr>
    </w:p>
    <w:p w14:paraId="3DE11C25" w14:textId="77777777" w:rsidR="00B24848" w:rsidRDefault="00B24848" w:rsidP="00ED7D95">
      <w:pPr>
        <w:spacing w:after="0" w:line="240" w:lineRule="auto"/>
        <w:jc w:val="both"/>
        <w:rPr>
          <w:rFonts w:ascii="Times New Roman" w:hAnsi="Times New Roman"/>
          <w:bCs/>
          <w:sz w:val="24"/>
          <w:szCs w:val="24"/>
        </w:rPr>
      </w:pPr>
    </w:p>
    <w:p w14:paraId="71E52B5E" w14:textId="77777777" w:rsidR="00497492" w:rsidRDefault="00497492" w:rsidP="00ED7D95">
      <w:pPr>
        <w:spacing w:after="0" w:line="240" w:lineRule="auto"/>
        <w:jc w:val="both"/>
        <w:rPr>
          <w:rFonts w:ascii="Times New Roman" w:hAnsi="Times New Roman"/>
          <w:bCs/>
          <w:sz w:val="24"/>
          <w:szCs w:val="24"/>
        </w:rPr>
      </w:pPr>
    </w:p>
    <w:p w14:paraId="2A6D6042" w14:textId="77777777" w:rsidR="00497492" w:rsidRDefault="00497492" w:rsidP="00ED7D95">
      <w:pPr>
        <w:spacing w:after="0" w:line="240" w:lineRule="auto"/>
        <w:jc w:val="both"/>
        <w:rPr>
          <w:rFonts w:ascii="Times New Roman" w:hAnsi="Times New Roman"/>
          <w:bCs/>
          <w:sz w:val="24"/>
          <w:szCs w:val="24"/>
        </w:rPr>
      </w:pPr>
    </w:p>
    <w:p w14:paraId="08E0BB65" w14:textId="03848ACF" w:rsidR="00ED7D95" w:rsidRPr="00ED7D95" w:rsidRDefault="00ED7D95" w:rsidP="00ED7D95">
      <w:pPr>
        <w:spacing w:after="0" w:line="240" w:lineRule="auto"/>
        <w:jc w:val="both"/>
        <w:rPr>
          <w:rFonts w:ascii="Times New Roman" w:hAnsi="Times New Roman"/>
          <w:bCs/>
          <w:sz w:val="24"/>
          <w:szCs w:val="24"/>
        </w:rPr>
      </w:pPr>
      <w:r w:rsidRPr="00ED7D95">
        <w:rPr>
          <w:rFonts w:ascii="Times New Roman" w:hAnsi="Times New Roman"/>
          <w:bCs/>
          <w:sz w:val="24"/>
          <w:szCs w:val="24"/>
        </w:rPr>
        <w:t xml:space="preserve">Los costos de prestación de servicios reconocen las erogaciones y cargos de mano de obra, materiales y costos indirectos en los que se hayan incurrido y que estén asociados a la prestación </w:t>
      </w:r>
      <w:r w:rsidR="000A63EB" w:rsidRPr="00ED7D95">
        <w:rPr>
          <w:rFonts w:ascii="Times New Roman" w:hAnsi="Times New Roman"/>
          <w:bCs/>
          <w:sz w:val="24"/>
          <w:szCs w:val="24"/>
        </w:rPr>
        <w:t>de este</w:t>
      </w:r>
      <w:r w:rsidRPr="00ED7D95">
        <w:rPr>
          <w:rFonts w:ascii="Times New Roman" w:hAnsi="Times New Roman"/>
          <w:bCs/>
          <w:sz w:val="24"/>
          <w:szCs w:val="24"/>
        </w:rPr>
        <w:t>.</w:t>
      </w:r>
      <w:r w:rsidR="00FF11BD">
        <w:rPr>
          <w:rFonts w:ascii="Times New Roman" w:hAnsi="Times New Roman"/>
          <w:bCs/>
          <w:sz w:val="24"/>
          <w:szCs w:val="24"/>
        </w:rPr>
        <w:t xml:space="preserve"> </w:t>
      </w:r>
      <w:r w:rsidRPr="00ED7D95">
        <w:rPr>
          <w:rFonts w:ascii="Times New Roman" w:hAnsi="Times New Roman"/>
          <w:bCs/>
          <w:sz w:val="24"/>
          <w:szCs w:val="24"/>
        </w:rPr>
        <w:t>La mano de obra y los demás costos relacionados por centro de costos administrativos no se incluyen en los costos del servicio, sino que se reconocerán como gastos administrativos del periodo en el que se haya incurrido.</w:t>
      </w:r>
    </w:p>
    <w:p w14:paraId="3081CC10" w14:textId="77777777" w:rsidR="00ED7D95" w:rsidRPr="00ED7D95" w:rsidRDefault="00ED7D95" w:rsidP="00ED7D95">
      <w:pPr>
        <w:spacing w:after="0" w:line="240" w:lineRule="auto"/>
        <w:jc w:val="both"/>
        <w:rPr>
          <w:rFonts w:ascii="Times New Roman" w:hAnsi="Times New Roman"/>
          <w:bCs/>
          <w:sz w:val="24"/>
          <w:szCs w:val="24"/>
        </w:rPr>
      </w:pPr>
    </w:p>
    <w:p w14:paraId="7E7E4864" w14:textId="3A7140D7" w:rsidR="00ED7D95" w:rsidRDefault="00ED7D95" w:rsidP="00ED7D95">
      <w:pPr>
        <w:spacing w:after="0" w:line="240" w:lineRule="auto"/>
        <w:jc w:val="both"/>
        <w:rPr>
          <w:rFonts w:ascii="Times New Roman" w:hAnsi="Times New Roman"/>
          <w:bCs/>
          <w:sz w:val="24"/>
          <w:szCs w:val="24"/>
        </w:rPr>
      </w:pPr>
      <w:r w:rsidRPr="00ED7D95">
        <w:rPr>
          <w:rFonts w:ascii="Times New Roman" w:hAnsi="Times New Roman"/>
          <w:bCs/>
          <w:sz w:val="24"/>
          <w:szCs w:val="24"/>
        </w:rPr>
        <w:t>La entidad clasifica por centro de costos las actividades relacionadas directamente con las pruebas o productos, permitiendo detallar los diferentes elementos que componen los costos como son la mano de obra directa y los costos directos e indirectos, así como los procesos misionales y administrativos, dicho sistema por actividades, hacen parte de la gestión de los costos y depende de sus condiciones particulares y de las características de operación de la entidad.</w:t>
      </w:r>
    </w:p>
    <w:p w14:paraId="292EDE70" w14:textId="77777777" w:rsidR="002B6C35" w:rsidRDefault="002B6C35" w:rsidP="00ED7D95">
      <w:pPr>
        <w:spacing w:after="0" w:line="240" w:lineRule="auto"/>
        <w:jc w:val="both"/>
        <w:rPr>
          <w:rFonts w:ascii="Times New Roman" w:hAnsi="Times New Roman"/>
          <w:bCs/>
          <w:sz w:val="24"/>
          <w:szCs w:val="24"/>
        </w:rPr>
      </w:pPr>
    </w:p>
    <w:p w14:paraId="168AEF41" w14:textId="5A08B845" w:rsidR="002B6C35" w:rsidRDefault="002B6C35" w:rsidP="00073315">
      <w:pPr>
        <w:pStyle w:val="Ttulo1"/>
      </w:pPr>
      <w:bookmarkStart w:id="111" w:name="_Toc99455377"/>
    </w:p>
    <w:p w14:paraId="1B9203BD" w14:textId="77777777" w:rsidR="002B6C35" w:rsidRPr="002B6C35" w:rsidRDefault="002B6C35" w:rsidP="002B6C35"/>
    <w:p w14:paraId="5D4C7A9D" w14:textId="77777777" w:rsidR="002B6C35" w:rsidRDefault="002B6C35" w:rsidP="00073315">
      <w:pPr>
        <w:pStyle w:val="Ttulo1"/>
      </w:pPr>
    </w:p>
    <w:p w14:paraId="5C80EDCA" w14:textId="6B094297" w:rsidR="0065161C" w:rsidRPr="00E2373F" w:rsidRDefault="0065161C" w:rsidP="00073315">
      <w:pPr>
        <w:pStyle w:val="Ttulo1"/>
      </w:pPr>
      <w:r w:rsidRPr="00E2373F">
        <w:t>NOTA 3</w:t>
      </w:r>
      <w:r w:rsidR="00005687">
        <w:t>1</w:t>
      </w:r>
      <w:r w:rsidRPr="00E2373F">
        <w:t>. COSTOS DE TRANSFORMACIÓN</w:t>
      </w:r>
      <w:bookmarkEnd w:id="111"/>
    </w:p>
    <w:p w14:paraId="592F54EB" w14:textId="5464DB59" w:rsidR="0065161C" w:rsidRPr="00E2373F" w:rsidRDefault="00594AD1" w:rsidP="00667BC9">
      <w:pPr>
        <w:spacing w:after="0" w:line="240" w:lineRule="auto"/>
        <w:jc w:val="both"/>
        <w:rPr>
          <w:rFonts w:ascii="Times New Roman" w:hAnsi="Times New Roman"/>
          <w:b/>
          <w:sz w:val="24"/>
          <w:szCs w:val="24"/>
        </w:rPr>
      </w:pPr>
      <w:r w:rsidRPr="00594AD1">
        <w:rPr>
          <w:rFonts w:ascii="Times New Roman" w:hAnsi="Times New Roman"/>
          <w:b/>
          <w:sz w:val="24"/>
          <w:szCs w:val="24"/>
        </w:rPr>
        <w:t>(No incluye las cuentas de traslado de costos)</w:t>
      </w:r>
    </w:p>
    <w:p w14:paraId="615450E8" w14:textId="02CA7580" w:rsidR="00594AD1" w:rsidRDefault="00594AD1" w:rsidP="00E738BD">
      <w:pPr>
        <w:pStyle w:val="Ttulo2"/>
        <w:numPr>
          <w:ilvl w:val="0"/>
          <w:numId w:val="0"/>
        </w:numPr>
      </w:pPr>
    </w:p>
    <w:p w14:paraId="07D9A2DA" w14:textId="2866AAD7" w:rsidR="0065161C" w:rsidRPr="00E738BD" w:rsidRDefault="0065161C" w:rsidP="00E738BD">
      <w:pPr>
        <w:pStyle w:val="Ttulo2"/>
        <w:numPr>
          <w:ilvl w:val="0"/>
          <w:numId w:val="0"/>
        </w:numPr>
      </w:pPr>
      <w:bookmarkStart w:id="112" w:name="_Toc99455378"/>
      <w:r w:rsidRPr="00E738BD">
        <w:t>Composición</w:t>
      </w:r>
      <w:bookmarkEnd w:id="112"/>
    </w:p>
    <w:p w14:paraId="434932C0" w14:textId="6C2AC3F1" w:rsidR="0065161C" w:rsidRPr="00E2373F" w:rsidRDefault="0065161C" w:rsidP="00667BC9">
      <w:pPr>
        <w:pStyle w:val="Prrafodelista"/>
        <w:spacing w:after="0" w:line="240" w:lineRule="auto"/>
        <w:jc w:val="both"/>
        <w:rPr>
          <w:rFonts w:ascii="Times New Roman" w:hAnsi="Times New Roman"/>
          <w:sz w:val="24"/>
          <w:szCs w:val="24"/>
        </w:rPr>
      </w:pPr>
    </w:p>
    <w:p w14:paraId="55C25A8F" w14:textId="6399AB87" w:rsidR="0065161C" w:rsidRDefault="009A50DD" w:rsidP="009A50DD">
      <w:pPr>
        <w:pStyle w:val="Prrafodelista"/>
        <w:spacing w:after="0" w:line="240" w:lineRule="auto"/>
        <w:ind w:left="0"/>
        <w:jc w:val="both"/>
        <w:rPr>
          <w:rFonts w:ascii="Times New Roman" w:hAnsi="Times New Roman"/>
          <w:sz w:val="24"/>
          <w:szCs w:val="24"/>
        </w:rPr>
      </w:pPr>
      <w:r w:rsidRPr="009A50DD">
        <w:rPr>
          <w:rFonts w:ascii="Times New Roman" w:hAnsi="Times New Roman"/>
          <w:sz w:val="24"/>
          <w:szCs w:val="24"/>
        </w:rPr>
        <w:t xml:space="preserve">La desagregación de los Costos de ventas de servicios presentados en el estado de resultados para los periodos contables terminados el </w:t>
      </w:r>
      <w:r w:rsidR="00B27577">
        <w:rPr>
          <w:rFonts w:ascii="Times New Roman" w:hAnsi="Times New Roman"/>
          <w:sz w:val="24"/>
          <w:szCs w:val="24"/>
        </w:rPr>
        <w:t>31/03/2022 y 31/03/2021</w:t>
      </w:r>
      <w:r w:rsidRPr="009A50DD">
        <w:rPr>
          <w:rFonts w:ascii="Times New Roman" w:hAnsi="Times New Roman"/>
          <w:sz w:val="24"/>
          <w:szCs w:val="24"/>
        </w:rPr>
        <w:t xml:space="preserve"> es la siguiente:</w:t>
      </w:r>
    </w:p>
    <w:p w14:paraId="5CC835FE" w14:textId="237D11DF" w:rsidR="001C054F" w:rsidRDefault="002B6C35" w:rsidP="009A50DD">
      <w:pPr>
        <w:pStyle w:val="Prrafodelista"/>
        <w:spacing w:after="0" w:line="240" w:lineRule="auto"/>
        <w:ind w:left="0"/>
        <w:jc w:val="both"/>
        <w:rPr>
          <w:rFonts w:ascii="Times New Roman" w:hAnsi="Times New Roman"/>
          <w:sz w:val="24"/>
          <w:szCs w:val="24"/>
        </w:rPr>
      </w:pPr>
      <w:r w:rsidRPr="002B6C35">
        <w:rPr>
          <w:noProof/>
        </w:rPr>
        <w:drawing>
          <wp:anchor distT="0" distB="0" distL="114300" distR="114300" simplePos="0" relativeHeight="252759040" behindDoc="1" locked="0" layoutInCell="1" allowOverlap="1" wp14:anchorId="3DED897A" wp14:editId="79758EAA">
            <wp:simplePos x="0" y="0"/>
            <wp:positionH relativeFrom="column">
              <wp:posOffset>0</wp:posOffset>
            </wp:positionH>
            <wp:positionV relativeFrom="paragraph">
              <wp:posOffset>90805</wp:posOffset>
            </wp:positionV>
            <wp:extent cx="5881370" cy="1035050"/>
            <wp:effectExtent l="0" t="0" r="508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81370" cy="1035050"/>
                    </a:xfrm>
                    <a:prstGeom prst="rect">
                      <a:avLst/>
                    </a:prstGeom>
                    <a:noFill/>
                    <a:ln>
                      <a:noFill/>
                    </a:ln>
                  </pic:spPr>
                </pic:pic>
              </a:graphicData>
            </a:graphic>
          </wp:anchor>
        </w:drawing>
      </w:r>
    </w:p>
    <w:p w14:paraId="1E4338F6" w14:textId="2E82E30D" w:rsidR="009A50DD" w:rsidRDefault="009A50DD" w:rsidP="009A50DD">
      <w:pPr>
        <w:pStyle w:val="Prrafodelista"/>
        <w:spacing w:after="0" w:line="240" w:lineRule="auto"/>
        <w:ind w:left="0"/>
        <w:jc w:val="both"/>
        <w:rPr>
          <w:noProof/>
        </w:rPr>
      </w:pPr>
    </w:p>
    <w:p w14:paraId="58B78DB8" w14:textId="0F0930D8" w:rsidR="00660AF2" w:rsidRDefault="00660AF2" w:rsidP="009A50DD">
      <w:pPr>
        <w:pStyle w:val="Prrafodelista"/>
        <w:spacing w:after="0" w:line="240" w:lineRule="auto"/>
        <w:ind w:left="0"/>
        <w:jc w:val="both"/>
        <w:rPr>
          <w:noProof/>
        </w:rPr>
      </w:pPr>
    </w:p>
    <w:p w14:paraId="699C6FE6" w14:textId="1B8C69E5" w:rsidR="00DF2C90" w:rsidRDefault="00DF2C90" w:rsidP="009A50DD">
      <w:pPr>
        <w:pStyle w:val="Prrafodelista"/>
        <w:spacing w:after="0" w:line="240" w:lineRule="auto"/>
        <w:ind w:left="0"/>
        <w:jc w:val="both"/>
        <w:rPr>
          <w:rFonts w:ascii="Times New Roman" w:hAnsi="Times New Roman"/>
          <w:sz w:val="24"/>
          <w:szCs w:val="24"/>
          <w:u w:val="single"/>
        </w:rPr>
      </w:pPr>
    </w:p>
    <w:p w14:paraId="33BEC0CE" w14:textId="7EFF8363" w:rsidR="00E25BD8" w:rsidRDefault="00E25BD8" w:rsidP="009A50DD">
      <w:pPr>
        <w:pStyle w:val="Prrafodelista"/>
        <w:spacing w:after="0" w:line="240" w:lineRule="auto"/>
        <w:ind w:left="0"/>
        <w:jc w:val="both"/>
        <w:rPr>
          <w:rFonts w:ascii="Times New Roman" w:hAnsi="Times New Roman"/>
          <w:sz w:val="24"/>
          <w:szCs w:val="24"/>
          <w:u w:val="single"/>
        </w:rPr>
      </w:pPr>
    </w:p>
    <w:p w14:paraId="2B607470" w14:textId="436193B6" w:rsidR="00E25BD8" w:rsidRDefault="00E25BD8" w:rsidP="009A50DD">
      <w:pPr>
        <w:pStyle w:val="Prrafodelista"/>
        <w:spacing w:after="0" w:line="240" w:lineRule="auto"/>
        <w:ind w:left="0"/>
        <w:jc w:val="both"/>
        <w:rPr>
          <w:rFonts w:ascii="Times New Roman" w:hAnsi="Times New Roman"/>
          <w:sz w:val="24"/>
          <w:szCs w:val="24"/>
          <w:u w:val="single"/>
        </w:rPr>
      </w:pPr>
    </w:p>
    <w:p w14:paraId="51AE21B0" w14:textId="77777777" w:rsidR="00C21C0F" w:rsidRDefault="00C21C0F" w:rsidP="009A50DD">
      <w:pPr>
        <w:pStyle w:val="Prrafodelista"/>
        <w:spacing w:after="0" w:line="240" w:lineRule="auto"/>
        <w:ind w:left="0"/>
        <w:jc w:val="both"/>
        <w:rPr>
          <w:rFonts w:ascii="Times New Roman" w:hAnsi="Times New Roman"/>
          <w:sz w:val="24"/>
          <w:szCs w:val="24"/>
          <w:u w:val="single"/>
        </w:rPr>
      </w:pPr>
    </w:p>
    <w:p w14:paraId="42C698FD" w14:textId="77777777" w:rsidR="001C054F" w:rsidRDefault="001C054F" w:rsidP="009A50DD">
      <w:pPr>
        <w:pStyle w:val="Prrafodelista"/>
        <w:spacing w:after="0" w:line="240" w:lineRule="auto"/>
        <w:ind w:left="0"/>
        <w:jc w:val="both"/>
        <w:rPr>
          <w:rFonts w:ascii="Times New Roman" w:hAnsi="Times New Roman"/>
          <w:sz w:val="24"/>
          <w:szCs w:val="24"/>
          <w:u w:val="single"/>
        </w:rPr>
      </w:pPr>
    </w:p>
    <w:p w14:paraId="2F988A97" w14:textId="1C002650" w:rsidR="0065161C" w:rsidRDefault="0065161C" w:rsidP="00425DA9">
      <w:pPr>
        <w:pStyle w:val="Ttulo2"/>
        <w:numPr>
          <w:ilvl w:val="1"/>
          <w:numId w:val="22"/>
        </w:numPr>
        <w:ind w:left="567" w:hanging="567"/>
      </w:pPr>
      <w:bookmarkStart w:id="113" w:name="_Toc99455379"/>
      <w:r w:rsidRPr="00E738BD">
        <w:t xml:space="preserve">Costo de transformación </w:t>
      </w:r>
      <w:r w:rsidR="00B878A2">
        <w:t>–</w:t>
      </w:r>
      <w:r w:rsidRPr="00E738BD">
        <w:t xml:space="preserve"> Detalle</w:t>
      </w:r>
      <w:r w:rsidR="00B878A2">
        <w:t xml:space="preserve"> (</w:t>
      </w:r>
      <w:r w:rsidR="00FF38C6">
        <w:t>p</w:t>
      </w:r>
      <w:r w:rsidR="001F14AA">
        <w:t>ara efectos de presentación n</w:t>
      </w:r>
      <w:r w:rsidR="00B878A2">
        <w:t>o incluye las cuentas de traslado de costos)</w:t>
      </w:r>
      <w:r w:rsidR="001F14AA">
        <w:t>.</w:t>
      </w:r>
      <w:bookmarkEnd w:id="113"/>
    </w:p>
    <w:p w14:paraId="3477AB4F" w14:textId="55C91D9A" w:rsidR="00594AD1" w:rsidRDefault="002B6C35" w:rsidP="00667BC9">
      <w:pPr>
        <w:spacing w:after="0" w:line="240" w:lineRule="auto"/>
        <w:ind w:left="720"/>
        <w:jc w:val="both"/>
        <w:rPr>
          <w:rFonts w:ascii="Times New Roman" w:hAnsi="Times New Roman"/>
          <w:sz w:val="24"/>
          <w:szCs w:val="24"/>
        </w:rPr>
      </w:pPr>
      <w:r w:rsidRPr="002B6C35">
        <w:rPr>
          <w:noProof/>
        </w:rPr>
        <w:drawing>
          <wp:anchor distT="0" distB="0" distL="114300" distR="114300" simplePos="0" relativeHeight="252760064" behindDoc="1" locked="0" layoutInCell="1" allowOverlap="1" wp14:anchorId="02F6CD54" wp14:editId="44077695">
            <wp:simplePos x="0" y="0"/>
            <wp:positionH relativeFrom="column">
              <wp:posOffset>0</wp:posOffset>
            </wp:positionH>
            <wp:positionV relativeFrom="paragraph">
              <wp:posOffset>98425</wp:posOffset>
            </wp:positionV>
            <wp:extent cx="5881370" cy="1809750"/>
            <wp:effectExtent l="0" t="0" r="508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81370" cy="1809750"/>
                    </a:xfrm>
                    <a:prstGeom prst="rect">
                      <a:avLst/>
                    </a:prstGeom>
                    <a:noFill/>
                    <a:ln>
                      <a:noFill/>
                    </a:ln>
                  </pic:spPr>
                </pic:pic>
              </a:graphicData>
            </a:graphic>
          </wp:anchor>
        </w:drawing>
      </w:r>
    </w:p>
    <w:p w14:paraId="3A6B5577" w14:textId="23DFC2A8" w:rsidR="00594AD1" w:rsidRDefault="00594AD1" w:rsidP="00667BC9">
      <w:pPr>
        <w:spacing w:after="0" w:line="240" w:lineRule="auto"/>
        <w:ind w:left="720"/>
        <w:jc w:val="both"/>
        <w:rPr>
          <w:rFonts w:ascii="Times New Roman" w:hAnsi="Times New Roman"/>
          <w:sz w:val="24"/>
          <w:szCs w:val="24"/>
        </w:rPr>
      </w:pPr>
    </w:p>
    <w:p w14:paraId="08F3E2B3" w14:textId="4E4B9825" w:rsidR="00594AD1" w:rsidRDefault="00594AD1" w:rsidP="00667BC9">
      <w:pPr>
        <w:spacing w:after="0" w:line="240" w:lineRule="auto"/>
        <w:ind w:left="720"/>
        <w:jc w:val="both"/>
        <w:rPr>
          <w:rFonts w:ascii="Times New Roman" w:hAnsi="Times New Roman"/>
          <w:sz w:val="24"/>
          <w:szCs w:val="24"/>
        </w:rPr>
      </w:pPr>
    </w:p>
    <w:p w14:paraId="09D3053F" w14:textId="7404F77A" w:rsidR="00594AD1" w:rsidRDefault="00594AD1" w:rsidP="00667BC9">
      <w:pPr>
        <w:spacing w:after="0" w:line="240" w:lineRule="auto"/>
        <w:ind w:left="720"/>
        <w:jc w:val="both"/>
        <w:rPr>
          <w:rFonts w:ascii="Times New Roman" w:hAnsi="Times New Roman"/>
          <w:sz w:val="24"/>
          <w:szCs w:val="24"/>
        </w:rPr>
      </w:pPr>
    </w:p>
    <w:p w14:paraId="775F4825" w14:textId="75B41C4C" w:rsidR="00594AD1" w:rsidRDefault="00594AD1" w:rsidP="00667BC9">
      <w:pPr>
        <w:spacing w:after="0" w:line="240" w:lineRule="auto"/>
        <w:ind w:left="720"/>
        <w:jc w:val="both"/>
        <w:rPr>
          <w:rFonts w:ascii="Times New Roman" w:hAnsi="Times New Roman"/>
          <w:sz w:val="24"/>
          <w:szCs w:val="24"/>
        </w:rPr>
      </w:pPr>
    </w:p>
    <w:p w14:paraId="79DDA54F" w14:textId="471BBA0A" w:rsidR="00594AD1" w:rsidRDefault="00594AD1" w:rsidP="00667BC9">
      <w:pPr>
        <w:spacing w:after="0" w:line="240" w:lineRule="auto"/>
        <w:ind w:left="720"/>
        <w:jc w:val="both"/>
        <w:rPr>
          <w:rFonts w:ascii="Times New Roman" w:hAnsi="Times New Roman"/>
          <w:sz w:val="24"/>
          <w:szCs w:val="24"/>
        </w:rPr>
      </w:pPr>
    </w:p>
    <w:p w14:paraId="0DBCF2AB" w14:textId="1C561E6B" w:rsidR="00594AD1" w:rsidRDefault="00594AD1" w:rsidP="00667BC9">
      <w:pPr>
        <w:spacing w:after="0" w:line="240" w:lineRule="auto"/>
        <w:ind w:left="720"/>
        <w:jc w:val="both"/>
        <w:rPr>
          <w:rFonts w:ascii="Times New Roman" w:hAnsi="Times New Roman"/>
          <w:sz w:val="24"/>
          <w:szCs w:val="24"/>
        </w:rPr>
      </w:pPr>
    </w:p>
    <w:p w14:paraId="7FB07961" w14:textId="7C5A71BE" w:rsidR="00594AD1" w:rsidRDefault="00594AD1" w:rsidP="00667BC9">
      <w:pPr>
        <w:spacing w:after="0" w:line="240" w:lineRule="auto"/>
        <w:ind w:left="720"/>
        <w:jc w:val="both"/>
        <w:rPr>
          <w:rFonts w:ascii="Times New Roman" w:hAnsi="Times New Roman"/>
          <w:sz w:val="24"/>
          <w:szCs w:val="24"/>
        </w:rPr>
      </w:pPr>
    </w:p>
    <w:p w14:paraId="5A3EFEE8" w14:textId="1184C642" w:rsidR="00594AD1" w:rsidRDefault="00594AD1" w:rsidP="00667BC9">
      <w:pPr>
        <w:spacing w:after="0" w:line="240" w:lineRule="auto"/>
        <w:ind w:left="720"/>
        <w:jc w:val="both"/>
        <w:rPr>
          <w:rFonts w:ascii="Times New Roman" w:hAnsi="Times New Roman"/>
          <w:sz w:val="24"/>
          <w:szCs w:val="24"/>
        </w:rPr>
      </w:pPr>
    </w:p>
    <w:p w14:paraId="2DB69F74" w14:textId="02CE68B7" w:rsidR="00115935" w:rsidRDefault="00115935" w:rsidP="00667BC9">
      <w:pPr>
        <w:spacing w:after="0" w:line="240" w:lineRule="auto"/>
        <w:ind w:left="720"/>
        <w:jc w:val="both"/>
        <w:rPr>
          <w:rFonts w:ascii="Times New Roman" w:hAnsi="Times New Roman"/>
          <w:sz w:val="24"/>
          <w:szCs w:val="24"/>
        </w:rPr>
      </w:pPr>
    </w:p>
    <w:p w14:paraId="04CB61EF" w14:textId="42EB1036" w:rsidR="00115935" w:rsidRDefault="00115935" w:rsidP="00667BC9">
      <w:pPr>
        <w:spacing w:after="0" w:line="240" w:lineRule="auto"/>
        <w:ind w:left="720"/>
        <w:jc w:val="both"/>
        <w:rPr>
          <w:rFonts w:ascii="Times New Roman" w:hAnsi="Times New Roman"/>
          <w:sz w:val="24"/>
          <w:szCs w:val="24"/>
        </w:rPr>
      </w:pPr>
    </w:p>
    <w:p w14:paraId="2E19ADEA" w14:textId="77777777" w:rsidR="00497492" w:rsidRPr="00497492" w:rsidRDefault="00497492" w:rsidP="00497492">
      <w:pPr>
        <w:pStyle w:val="Prrafodelista"/>
        <w:suppressAutoHyphens/>
        <w:autoSpaceDE w:val="0"/>
        <w:autoSpaceDN w:val="0"/>
        <w:adjustRightInd w:val="0"/>
        <w:spacing w:after="0" w:line="240" w:lineRule="auto"/>
        <w:ind w:left="360" w:right="49"/>
        <w:jc w:val="both"/>
        <w:rPr>
          <w:rFonts w:ascii="Times New Roman" w:hAnsi="Times New Roman"/>
          <w:b/>
          <w:bCs/>
          <w:sz w:val="24"/>
        </w:rPr>
      </w:pPr>
    </w:p>
    <w:p w14:paraId="15352942" w14:textId="2F2C0CA2" w:rsidR="00FC28A2" w:rsidRPr="00866CA6" w:rsidRDefault="00FC28A2" w:rsidP="00425DA9">
      <w:pPr>
        <w:pStyle w:val="Prrafodelista"/>
        <w:numPr>
          <w:ilvl w:val="0"/>
          <w:numId w:val="29"/>
        </w:numPr>
        <w:suppressAutoHyphens/>
        <w:autoSpaceDE w:val="0"/>
        <w:autoSpaceDN w:val="0"/>
        <w:adjustRightInd w:val="0"/>
        <w:spacing w:after="0" w:line="240" w:lineRule="auto"/>
        <w:ind w:right="49"/>
        <w:jc w:val="both"/>
        <w:rPr>
          <w:rFonts w:ascii="Times New Roman" w:hAnsi="Times New Roman"/>
          <w:b/>
          <w:bCs/>
          <w:sz w:val="24"/>
        </w:rPr>
      </w:pPr>
      <w:r w:rsidRPr="00FC28A2">
        <w:rPr>
          <w:rFonts w:ascii="Times New Roman" w:hAnsi="Times New Roman"/>
          <w:bCs/>
          <w:sz w:val="24"/>
        </w:rPr>
        <w:t xml:space="preserve">La desagregación de los </w:t>
      </w:r>
      <w:r w:rsidR="004E4694">
        <w:rPr>
          <w:rFonts w:ascii="Times New Roman" w:hAnsi="Times New Roman"/>
          <w:bCs/>
          <w:sz w:val="24"/>
        </w:rPr>
        <w:t>costos</w:t>
      </w:r>
      <w:r w:rsidRPr="00FC28A2">
        <w:rPr>
          <w:rFonts w:ascii="Times New Roman" w:hAnsi="Times New Roman"/>
          <w:bCs/>
          <w:sz w:val="24"/>
        </w:rPr>
        <w:t xml:space="preserve"> de personal diversos (cuenta 799010) para los periodos contables terminados el </w:t>
      </w:r>
      <w:r w:rsidR="00B27577">
        <w:rPr>
          <w:rFonts w:ascii="Times New Roman" w:hAnsi="Times New Roman"/>
          <w:bCs/>
          <w:sz w:val="24"/>
        </w:rPr>
        <w:t>31/03/2022 y 31/03/2021</w:t>
      </w:r>
      <w:r w:rsidR="00115935">
        <w:rPr>
          <w:rFonts w:ascii="Times New Roman" w:hAnsi="Times New Roman"/>
          <w:bCs/>
          <w:sz w:val="24"/>
        </w:rPr>
        <w:t xml:space="preserve"> </w:t>
      </w:r>
      <w:r w:rsidRPr="00FC28A2">
        <w:rPr>
          <w:rFonts w:ascii="Times New Roman" w:hAnsi="Times New Roman"/>
          <w:bCs/>
          <w:sz w:val="24"/>
        </w:rPr>
        <w:t>es la siguiente:</w:t>
      </w:r>
    </w:p>
    <w:p w14:paraId="40A6272A" w14:textId="50E4B4E5" w:rsidR="00866CA6" w:rsidRDefault="002B6C35" w:rsidP="00866CA6">
      <w:pPr>
        <w:pStyle w:val="Prrafodelista"/>
        <w:suppressAutoHyphens/>
        <w:autoSpaceDE w:val="0"/>
        <w:autoSpaceDN w:val="0"/>
        <w:adjustRightInd w:val="0"/>
        <w:spacing w:after="0" w:line="240" w:lineRule="auto"/>
        <w:ind w:left="360" w:right="570"/>
        <w:jc w:val="both"/>
        <w:rPr>
          <w:rFonts w:ascii="Times New Roman" w:hAnsi="Times New Roman"/>
          <w:bCs/>
          <w:sz w:val="24"/>
        </w:rPr>
      </w:pPr>
      <w:r w:rsidRPr="002B6C35">
        <w:rPr>
          <w:noProof/>
        </w:rPr>
        <w:drawing>
          <wp:anchor distT="0" distB="0" distL="114300" distR="114300" simplePos="0" relativeHeight="252761088" behindDoc="1" locked="0" layoutInCell="1" allowOverlap="1" wp14:anchorId="1B25C4E2" wp14:editId="53F1A4CC">
            <wp:simplePos x="0" y="0"/>
            <wp:positionH relativeFrom="column">
              <wp:posOffset>0</wp:posOffset>
            </wp:positionH>
            <wp:positionV relativeFrom="paragraph">
              <wp:posOffset>114935</wp:posOffset>
            </wp:positionV>
            <wp:extent cx="5881370" cy="865505"/>
            <wp:effectExtent l="0" t="0" r="508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81370" cy="865505"/>
                    </a:xfrm>
                    <a:prstGeom prst="rect">
                      <a:avLst/>
                    </a:prstGeom>
                    <a:noFill/>
                    <a:ln>
                      <a:noFill/>
                    </a:ln>
                  </pic:spPr>
                </pic:pic>
              </a:graphicData>
            </a:graphic>
          </wp:anchor>
        </w:drawing>
      </w:r>
    </w:p>
    <w:p w14:paraId="5074AD3A" w14:textId="4844FC96" w:rsidR="00866CA6" w:rsidRPr="00FC28A2" w:rsidRDefault="00866CA6" w:rsidP="00866CA6">
      <w:pPr>
        <w:pStyle w:val="Prrafodelista"/>
        <w:suppressAutoHyphens/>
        <w:autoSpaceDE w:val="0"/>
        <w:autoSpaceDN w:val="0"/>
        <w:adjustRightInd w:val="0"/>
        <w:spacing w:after="0" w:line="240" w:lineRule="auto"/>
        <w:ind w:left="360" w:right="570"/>
        <w:jc w:val="both"/>
        <w:rPr>
          <w:rFonts w:ascii="Times New Roman" w:hAnsi="Times New Roman"/>
          <w:b/>
          <w:bCs/>
          <w:sz w:val="24"/>
        </w:rPr>
      </w:pPr>
    </w:p>
    <w:p w14:paraId="162F8A22" w14:textId="6D2E3971" w:rsidR="00FC28A2" w:rsidRDefault="00FC28A2" w:rsidP="00A25C80">
      <w:pPr>
        <w:spacing w:after="0" w:line="240" w:lineRule="auto"/>
        <w:jc w:val="both"/>
        <w:rPr>
          <w:rFonts w:ascii="Times New Roman" w:hAnsi="Times New Roman"/>
          <w:b/>
          <w:bCs/>
          <w:sz w:val="24"/>
          <w:szCs w:val="24"/>
        </w:rPr>
      </w:pPr>
    </w:p>
    <w:p w14:paraId="10340198" w14:textId="38C2FDCF" w:rsidR="00FC28A2" w:rsidRDefault="00FC28A2" w:rsidP="00A25C80">
      <w:pPr>
        <w:spacing w:after="0" w:line="240" w:lineRule="auto"/>
        <w:jc w:val="both"/>
        <w:rPr>
          <w:rFonts w:ascii="Times New Roman" w:hAnsi="Times New Roman"/>
          <w:b/>
          <w:bCs/>
          <w:sz w:val="24"/>
          <w:szCs w:val="24"/>
        </w:rPr>
      </w:pPr>
    </w:p>
    <w:p w14:paraId="1953A6D8" w14:textId="48A1A408" w:rsidR="00FC28A2" w:rsidRDefault="00FC28A2" w:rsidP="00A25C80">
      <w:pPr>
        <w:spacing w:after="0" w:line="240" w:lineRule="auto"/>
        <w:jc w:val="both"/>
        <w:rPr>
          <w:rFonts w:ascii="Times New Roman" w:hAnsi="Times New Roman"/>
          <w:b/>
          <w:bCs/>
          <w:sz w:val="24"/>
          <w:szCs w:val="24"/>
        </w:rPr>
      </w:pPr>
    </w:p>
    <w:p w14:paraId="2CEC4F13" w14:textId="226126DB" w:rsidR="00FC28A2" w:rsidRDefault="00FC28A2" w:rsidP="00A25C80">
      <w:pPr>
        <w:spacing w:after="0" w:line="240" w:lineRule="auto"/>
        <w:jc w:val="both"/>
        <w:rPr>
          <w:rFonts w:ascii="Times New Roman" w:hAnsi="Times New Roman"/>
          <w:b/>
          <w:bCs/>
          <w:sz w:val="24"/>
          <w:szCs w:val="24"/>
        </w:rPr>
      </w:pPr>
    </w:p>
    <w:p w14:paraId="6E4EBC6A" w14:textId="6F373BAB" w:rsidR="00FC28A2" w:rsidRDefault="00CE4CCC" w:rsidP="00A25C80">
      <w:pPr>
        <w:spacing w:after="0" w:line="240" w:lineRule="auto"/>
        <w:jc w:val="both"/>
        <w:rPr>
          <w:rFonts w:ascii="Times New Roman" w:hAnsi="Times New Roman"/>
          <w:bCs/>
          <w:sz w:val="24"/>
        </w:rPr>
      </w:pPr>
      <w:r w:rsidRPr="00CE4CCC">
        <w:rPr>
          <w:rFonts w:ascii="Times New Roman" w:hAnsi="Times New Roman"/>
          <w:b/>
          <w:bCs/>
          <w:sz w:val="24"/>
          <w:szCs w:val="24"/>
        </w:rPr>
        <w:t>(2)</w:t>
      </w:r>
      <w:r>
        <w:rPr>
          <w:rFonts w:ascii="Times New Roman" w:hAnsi="Times New Roman"/>
          <w:bCs/>
          <w:sz w:val="24"/>
        </w:rPr>
        <w:t xml:space="preserve"> </w:t>
      </w:r>
      <w:r w:rsidRPr="00CE4CCC">
        <w:rPr>
          <w:rFonts w:ascii="Times New Roman" w:hAnsi="Times New Roman"/>
          <w:bCs/>
          <w:sz w:val="24"/>
        </w:rPr>
        <w:t xml:space="preserve">La desagregación de los </w:t>
      </w:r>
      <w:r w:rsidR="00A220DE">
        <w:rPr>
          <w:rFonts w:ascii="Times New Roman" w:hAnsi="Times New Roman"/>
          <w:bCs/>
          <w:sz w:val="24"/>
        </w:rPr>
        <w:t>costos</w:t>
      </w:r>
      <w:r w:rsidRPr="00CE4CCC">
        <w:rPr>
          <w:rFonts w:ascii="Times New Roman" w:hAnsi="Times New Roman"/>
          <w:bCs/>
          <w:sz w:val="24"/>
        </w:rPr>
        <w:t xml:space="preserve"> generales (cuenta 799002) para los periodos contables terminados el </w:t>
      </w:r>
      <w:r w:rsidR="00B27577">
        <w:rPr>
          <w:rFonts w:ascii="Times New Roman" w:hAnsi="Times New Roman"/>
          <w:bCs/>
          <w:sz w:val="24"/>
        </w:rPr>
        <w:t>31/03/2022 y 31/03/2021</w:t>
      </w:r>
      <w:r w:rsidRPr="00CE4CCC">
        <w:rPr>
          <w:rFonts w:ascii="Times New Roman" w:hAnsi="Times New Roman"/>
          <w:bCs/>
          <w:sz w:val="24"/>
        </w:rPr>
        <w:t xml:space="preserve"> es la siguiente:</w:t>
      </w:r>
    </w:p>
    <w:p w14:paraId="6DBC11DA" w14:textId="20197C31" w:rsidR="00B93AD5" w:rsidRDefault="00B93AD5" w:rsidP="00A25C80">
      <w:pPr>
        <w:spacing w:after="0" w:line="240" w:lineRule="auto"/>
        <w:jc w:val="both"/>
        <w:rPr>
          <w:rFonts w:ascii="Times New Roman" w:hAnsi="Times New Roman"/>
          <w:bCs/>
          <w:sz w:val="24"/>
        </w:rPr>
      </w:pPr>
    </w:p>
    <w:p w14:paraId="6E7A3EC5" w14:textId="68ECC687" w:rsidR="00B93AD5" w:rsidRDefault="00B93AD5" w:rsidP="00A25C80">
      <w:pPr>
        <w:spacing w:after="0" w:line="240" w:lineRule="auto"/>
        <w:jc w:val="both"/>
        <w:rPr>
          <w:rFonts w:ascii="Times New Roman" w:hAnsi="Times New Roman"/>
          <w:bCs/>
          <w:sz w:val="24"/>
        </w:rPr>
      </w:pPr>
    </w:p>
    <w:p w14:paraId="07580AB2" w14:textId="491647CF" w:rsidR="00B93AD5" w:rsidRDefault="00B93AD5" w:rsidP="00A25C80">
      <w:pPr>
        <w:spacing w:after="0" w:line="240" w:lineRule="auto"/>
        <w:jc w:val="both"/>
        <w:rPr>
          <w:rFonts w:ascii="Times New Roman" w:hAnsi="Times New Roman"/>
          <w:bCs/>
          <w:sz w:val="24"/>
        </w:rPr>
      </w:pPr>
    </w:p>
    <w:p w14:paraId="0B610266" w14:textId="7205AB20" w:rsidR="00B93AD5" w:rsidRDefault="00B93AD5" w:rsidP="00A25C80">
      <w:pPr>
        <w:spacing w:after="0" w:line="240" w:lineRule="auto"/>
        <w:jc w:val="both"/>
        <w:rPr>
          <w:rFonts w:ascii="Times New Roman" w:hAnsi="Times New Roman"/>
          <w:bCs/>
          <w:sz w:val="24"/>
        </w:rPr>
      </w:pPr>
    </w:p>
    <w:p w14:paraId="27B72CD0" w14:textId="1C492241" w:rsidR="00B93AD5" w:rsidRDefault="00B93AD5" w:rsidP="00A25C80">
      <w:pPr>
        <w:spacing w:after="0" w:line="240" w:lineRule="auto"/>
        <w:jc w:val="both"/>
        <w:rPr>
          <w:rFonts w:ascii="Times New Roman" w:hAnsi="Times New Roman"/>
          <w:bCs/>
          <w:sz w:val="24"/>
        </w:rPr>
      </w:pPr>
    </w:p>
    <w:p w14:paraId="515CBC84" w14:textId="73CF726A" w:rsidR="00D33F85" w:rsidRDefault="00D33F85" w:rsidP="00A25C80">
      <w:pPr>
        <w:spacing w:after="0" w:line="240" w:lineRule="auto"/>
        <w:jc w:val="both"/>
        <w:rPr>
          <w:rFonts w:ascii="Times New Roman" w:hAnsi="Times New Roman"/>
          <w:bCs/>
          <w:sz w:val="24"/>
        </w:rPr>
      </w:pPr>
    </w:p>
    <w:p w14:paraId="4E55720C" w14:textId="6014D88E" w:rsidR="00D33F85" w:rsidRDefault="00D33F85" w:rsidP="00A25C80">
      <w:pPr>
        <w:spacing w:after="0" w:line="240" w:lineRule="auto"/>
        <w:jc w:val="both"/>
        <w:rPr>
          <w:rFonts w:ascii="Times New Roman" w:hAnsi="Times New Roman"/>
          <w:bCs/>
          <w:sz w:val="24"/>
        </w:rPr>
      </w:pPr>
    </w:p>
    <w:p w14:paraId="27553572" w14:textId="1AC4B1A2" w:rsidR="001D22BF" w:rsidRDefault="002B6C35" w:rsidP="00A25C80">
      <w:pPr>
        <w:spacing w:after="0" w:line="240" w:lineRule="auto"/>
        <w:jc w:val="both"/>
        <w:rPr>
          <w:rFonts w:ascii="Times New Roman" w:hAnsi="Times New Roman"/>
          <w:bCs/>
          <w:sz w:val="24"/>
        </w:rPr>
      </w:pPr>
      <w:r w:rsidRPr="002B6C35">
        <w:rPr>
          <w:noProof/>
        </w:rPr>
        <w:drawing>
          <wp:anchor distT="0" distB="0" distL="114300" distR="114300" simplePos="0" relativeHeight="252762112" behindDoc="1" locked="0" layoutInCell="1" allowOverlap="1" wp14:anchorId="3ACBD8B8" wp14:editId="30239D29">
            <wp:simplePos x="0" y="0"/>
            <wp:positionH relativeFrom="column">
              <wp:posOffset>-31750</wp:posOffset>
            </wp:positionH>
            <wp:positionV relativeFrom="paragraph">
              <wp:posOffset>20955</wp:posOffset>
            </wp:positionV>
            <wp:extent cx="5881370" cy="2471420"/>
            <wp:effectExtent l="0" t="0" r="5080" b="508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81370" cy="2471420"/>
                    </a:xfrm>
                    <a:prstGeom prst="rect">
                      <a:avLst/>
                    </a:prstGeom>
                    <a:noFill/>
                    <a:ln>
                      <a:noFill/>
                    </a:ln>
                  </pic:spPr>
                </pic:pic>
              </a:graphicData>
            </a:graphic>
          </wp:anchor>
        </w:drawing>
      </w:r>
    </w:p>
    <w:p w14:paraId="39F3F0BF" w14:textId="3616447C" w:rsidR="001D22BF" w:rsidRDefault="001D22BF" w:rsidP="00A25C80">
      <w:pPr>
        <w:spacing w:after="0" w:line="240" w:lineRule="auto"/>
        <w:jc w:val="both"/>
        <w:rPr>
          <w:rFonts w:ascii="Times New Roman" w:hAnsi="Times New Roman"/>
          <w:bCs/>
          <w:sz w:val="24"/>
        </w:rPr>
      </w:pPr>
    </w:p>
    <w:p w14:paraId="46E5A97F" w14:textId="0B88D57F" w:rsidR="001D22BF" w:rsidRDefault="001D22BF" w:rsidP="00A25C80">
      <w:pPr>
        <w:spacing w:after="0" w:line="240" w:lineRule="auto"/>
        <w:jc w:val="both"/>
        <w:rPr>
          <w:rFonts w:ascii="Times New Roman" w:hAnsi="Times New Roman"/>
          <w:bCs/>
          <w:sz w:val="24"/>
        </w:rPr>
      </w:pPr>
    </w:p>
    <w:p w14:paraId="1B732D66" w14:textId="21F4A017" w:rsidR="00497492" w:rsidRDefault="00497492" w:rsidP="00A25C80">
      <w:pPr>
        <w:spacing w:after="0" w:line="240" w:lineRule="auto"/>
        <w:jc w:val="both"/>
        <w:rPr>
          <w:rFonts w:ascii="Times New Roman" w:hAnsi="Times New Roman"/>
          <w:bCs/>
          <w:sz w:val="24"/>
        </w:rPr>
      </w:pPr>
    </w:p>
    <w:p w14:paraId="40AE4887" w14:textId="79214964" w:rsidR="00497492" w:rsidRDefault="00497492" w:rsidP="00A25C80">
      <w:pPr>
        <w:spacing w:after="0" w:line="240" w:lineRule="auto"/>
        <w:jc w:val="both"/>
        <w:rPr>
          <w:rFonts w:ascii="Times New Roman" w:hAnsi="Times New Roman"/>
          <w:bCs/>
          <w:sz w:val="24"/>
        </w:rPr>
      </w:pPr>
    </w:p>
    <w:p w14:paraId="0D09862E" w14:textId="4A7CB28D" w:rsidR="00497492" w:rsidRDefault="00497492" w:rsidP="00A25C80">
      <w:pPr>
        <w:spacing w:after="0" w:line="240" w:lineRule="auto"/>
        <w:jc w:val="both"/>
        <w:rPr>
          <w:rFonts w:ascii="Times New Roman" w:hAnsi="Times New Roman"/>
          <w:bCs/>
          <w:sz w:val="24"/>
        </w:rPr>
      </w:pPr>
    </w:p>
    <w:p w14:paraId="2CDAA297" w14:textId="5A9C4CC0" w:rsidR="002B6C35" w:rsidRDefault="002B6C35" w:rsidP="00A25C80">
      <w:pPr>
        <w:spacing w:after="0" w:line="240" w:lineRule="auto"/>
        <w:jc w:val="both"/>
        <w:rPr>
          <w:rFonts w:ascii="Times New Roman" w:hAnsi="Times New Roman"/>
          <w:bCs/>
          <w:sz w:val="24"/>
        </w:rPr>
      </w:pPr>
    </w:p>
    <w:p w14:paraId="3939500C" w14:textId="66C09E38" w:rsidR="002B6C35" w:rsidRDefault="002B6C35" w:rsidP="00A25C80">
      <w:pPr>
        <w:spacing w:after="0" w:line="240" w:lineRule="auto"/>
        <w:jc w:val="both"/>
        <w:rPr>
          <w:rFonts w:ascii="Times New Roman" w:hAnsi="Times New Roman"/>
          <w:bCs/>
          <w:sz w:val="24"/>
        </w:rPr>
      </w:pPr>
    </w:p>
    <w:p w14:paraId="0682BD96" w14:textId="60AFE4E7" w:rsidR="002B6C35" w:rsidRDefault="002B6C35" w:rsidP="00A25C80">
      <w:pPr>
        <w:spacing w:after="0" w:line="240" w:lineRule="auto"/>
        <w:jc w:val="both"/>
        <w:rPr>
          <w:rFonts w:ascii="Times New Roman" w:hAnsi="Times New Roman"/>
          <w:bCs/>
          <w:sz w:val="24"/>
        </w:rPr>
      </w:pPr>
    </w:p>
    <w:p w14:paraId="56ED61B6" w14:textId="6BCA5D41" w:rsidR="002B6C35" w:rsidRDefault="002B6C35" w:rsidP="00A25C80">
      <w:pPr>
        <w:spacing w:after="0" w:line="240" w:lineRule="auto"/>
        <w:jc w:val="both"/>
        <w:rPr>
          <w:rFonts w:ascii="Times New Roman" w:hAnsi="Times New Roman"/>
          <w:bCs/>
          <w:sz w:val="24"/>
        </w:rPr>
      </w:pPr>
    </w:p>
    <w:p w14:paraId="4D687428" w14:textId="3B3D11F3" w:rsidR="002B6C35" w:rsidRDefault="002B6C35" w:rsidP="00A25C80">
      <w:pPr>
        <w:spacing w:after="0" w:line="240" w:lineRule="auto"/>
        <w:jc w:val="both"/>
        <w:rPr>
          <w:rFonts w:ascii="Times New Roman" w:hAnsi="Times New Roman"/>
          <w:bCs/>
          <w:sz w:val="24"/>
        </w:rPr>
      </w:pPr>
    </w:p>
    <w:p w14:paraId="30E674F0" w14:textId="1420F6FA" w:rsidR="002B6C35" w:rsidRDefault="002B6C35" w:rsidP="00A25C80">
      <w:pPr>
        <w:spacing w:after="0" w:line="240" w:lineRule="auto"/>
        <w:jc w:val="both"/>
        <w:rPr>
          <w:rFonts w:ascii="Times New Roman" w:hAnsi="Times New Roman"/>
          <w:bCs/>
          <w:sz w:val="24"/>
        </w:rPr>
      </w:pPr>
    </w:p>
    <w:p w14:paraId="4FAF9BDA" w14:textId="1EFADB88" w:rsidR="002B6C35" w:rsidRDefault="002B6C35" w:rsidP="00A25C80">
      <w:pPr>
        <w:spacing w:after="0" w:line="240" w:lineRule="auto"/>
        <w:jc w:val="both"/>
        <w:rPr>
          <w:rFonts w:ascii="Times New Roman" w:hAnsi="Times New Roman"/>
          <w:bCs/>
          <w:sz w:val="24"/>
        </w:rPr>
      </w:pPr>
    </w:p>
    <w:p w14:paraId="18C4A203" w14:textId="4A880A02" w:rsidR="002B6C35" w:rsidRDefault="002B6C35" w:rsidP="00A25C80">
      <w:pPr>
        <w:spacing w:after="0" w:line="240" w:lineRule="auto"/>
        <w:jc w:val="both"/>
        <w:rPr>
          <w:rFonts w:ascii="Times New Roman" w:hAnsi="Times New Roman"/>
          <w:bCs/>
          <w:sz w:val="24"/>
        </w:rPr>
      </w:pPr>
    </w:p>
    <w:p w14:paraId="5FF4BC0D" w14:textId="77777777" w:rsidR="002B6C35" w:rsidRDefault="002B6C35" w:rsidP="00A25C80">
      <w:pPr>
        <w:spacing w:after="0" w:line="240" w:lineRule="auto"/>
        <w:jc w:val="both"/>
        <w:rPr>
          <w:rFonts w:ascii="Times New Roman" w:hAnsi="Times New Roman"/>
          <w:bCs/>
          <w:sz w:val="24"/>
        </w:rPr>
      </w:pPr>
    </w:p>
    <w:p w14:paraId="340A1173" w14:textId="0922DDD8" w:rsidR="00017D57" w:rsidRPr="00017D57" w:rsidRDefault="00017D57" w:rsidP="00017D57">
      <w:pPr>
        <w:spacing w:after="0" w:line="240" w:lineRule="auto"/>
        <w:jc w:val="both"/>
        <w:rPr>
          <w:rFonts w:ascii="Times New Roman" w:hAnsi="Times New Roman"/>
          <w:sz w:val="24"/>
          <w:szCs w:val="24"/>
        </w:rPr>
      </w:pPr>
      <w:r w:rsidRPr="00017D57">
        <w:rPr>
          <w:rFonts w:ascii="Times New Roman" w:hAnsi="Times New Roman"/>
          <w:sz w:val="24"/>
          <w:szCs w:val="24"/>
        </w:rPr>
        <w:t xml:space="preserve">Los costos de transformación por prestación de servicios reconocen las erogaciones y cargos de mano de obra, materiales y los costos indirectos en los que se hayan incurrido asociados a la prestación </w:t>
      </w:r>
      <w:r w:rsidR="000A63EB" w:rsidRPr="00017D57">
        <w:rPr>
          <w:rFonts w:ascii="Times New Roman" w:hAnsi="Times New Roman"/>
          <w:sz w:val="24"/>
          <w:szCs w:val="24"/>
        </w:rPr>
        <w:t>de este</w:t>
      </w:r>
      <w:r w:rsidRPr="00017D57">
        <w:rPr>
          <w:rFonts w:ascii="Times New Roman" w:hAnsi="Times New Roman"/>
          <w:sz w:val="24"/>
          <w:szCs w:val="24"/>
        </w:rPr>
        <w:t xml:space="preserve">; que están aún pendientes por distribuir para trasladarse al costo de ventas. </w:t>
      </w:r>
    </w:p>
    <w:p w14:paraId="014C4265" w14:textId="77777777" w:rsidR="00017D57" w:rsidRPr="00017D57" w:rsidRDefault="00017D57" w:rsidP="00017D57">
      <w:pPr>
        <w:spacing w:after="0" w:line="240" w:lineRule="auto"/>
        <w:jc w:val="both"/>
        <w:rPr>
          <w:rFonts w:ascii="Times New Roman" w:hAnsi="Times New Roman"/>
          <w:sz w:val="24"/>
          <w:szCs w:val="24"/>
        </w:rPr>
      </w:pPr>
    </w:p>
    <w:p w14:paraId="5C09800E" w14:textId="659BD975" w:rsidR="00017D57" w:rsidRPr="00017D57" w:rsidRDefault="00017D57" w:rsidP="00017D57">
      <w:pPr>
        <w:spacing w:after="0" w:line="240" w:lineRule="auto"/>
        <w:jc w:val="both"/>
        <w:rPr>
          <w:rFonts w:ascii="Times New Roman" w:hAnsi="Times New Roman"/>
          <w:sz w:val="24"/>
          <w:szCs w:val="24"/>
        </w:rPr>
      </w:pPr>
      <w:r w:rsidRPr="00017D57">
        <w:rPr>
          <w:rFonts w:ascii="Times New Roman" w:hAnsi="Times New Roman"/>
          <w:sz w:val="24"/>
          <w:szCs w:val="24"/>
        </w:rPr>
        <w:t>En la medida que la entidad obtenga recaudos por cada prueba, reconocerá sus ingresos que se medirán al valor razonable de la contraprestación recibida, las erogaciones y cargos relacionados se acumularán en las cuentas de costos de transformación (cuenta 79) de acuerdo con el servicio prestado. El traslado del costo de la prestación del servicio al costo de ventas (cuenta 63) se efectuará previa distribución de los costos indirectos según calendario y presentación de cada prueba.</w:t>
      </w:r>
    </w:p>
    <w:p w14:paraId="32FA11EE" w14:textId="77777777" w:rsidR="00497492" w:rsidRDefault="00497492" w:rsidP="00A25C80">
      <w:pPr>
        <w:spacing w:after="0" w:line="240" w:lineRule="auto"/>
        <w:jc w:val="both"/>
        <w:rPr>
          <w:rFonts w:ascii="Times New Roman" w:hAnsi="Times New Roman"/>
          <w:b/>
          <w:bCs/>
          <w:sz w:val="24"/>
          <w:szCs w:val="24"/>
        </w:rPr>
      </w:pPr>
    </w:p>
    <w:p w14:paraId="24F4FF28" w14:textId="7D2296A4" w:rsidR="00A25C80" w:rsidRPr="00A25C80" w:rsidRDefault="00A25C80" w:rsidP="00A25C80">
      <w:pPr>
        <w:spacing w:after="0" w:line="240" w:lineRule="auto"/>
        <w:jc w:val="both"/>
        <w:rPr>
          <w:rFonts w:ascii="Times New Roman" w:hAnsi="Times New Roman"/>
          <w:b/>
          <w:bCs/>
          <w:sz w:val="24"/>
          <w:szCs w:val="24"/>
        </w:rPr>
      </w:pPr>
      <w:r w:rsidRPr="00A25C80">
        <w:rPr>
          <w:rFonts w:ascii="Times New Roman" w:hAnsi="Times New Roman"/>
          <w:b/>
          <w:bCs/>
          <w:sz w:val="24"/>
          <w:szCs w:val="24"/>
        </w:rPr>
        <w:t xml:space="preserve">Distribución de Costos Indirectos a los costos por prestación de servicios </w:t>
      </w:r>
    </w:p>
    <w:p w14:paraId="1DA1DD77" w14:textId="77777777" w:rsidR="00497492" w:rsidRDefault="00497492" w:rsidP="00A25C80">
      <w:pPr>
        <w:spacing w:after="0" w:line="240" w:lineRule="auto"/>
        <w:jc w:val="both"/>
        <w:rPr>
          <w:rFonts w:ascii="Times New Roman" w:hAnsi="Times New Roman"/>
          <w:sz w:val="24"/>
          <w:szCs w:val="24"/>
        </w:rPr>
      </w:pPr>
    </w:p>
    <w:p w14:paraId="6C2DD169" w14:textId="3E012608" w:rsidR="00B93AD5" w:rsidRDefault="00A25C80" w:rsidP="00A25C80">
      <w:pPr>
        <w:spacing w:after="0" w:line="240" w:lineRule="auto"/>
        <w:jc w:val="both"/>
        <w:rPr>
          <w:rFonts w:ascii="Times New Roman" w:hAnsi="Times New Roman"/>
          <w:sz w:val="24"/>
          <w:szCs w:val="24"/>
        </w:rPr>
      </w:pPr>
      <w:r w:rsidRPr="00A25C80">
        <w:rPr>
          <w:rFonts w:ascii="Times New Roman" w:hAnsi="Times New Roman"/>
          <w:sz w:val="24"/>
          <w:szCs w:val="24"/>
        </w:rPr>
        <w:t xml:space="preserve">La entidad </w:t>
      </w:r>
      <w:r w:rsidR="0095104B">
        <w:rPr>
          <w:rFonts w:ascii="Times New Roman" w:hAnsi="Times New Roman"/>
          <w:sz w:val="24"/>
          <w:szCs w:val="24"/>
        </w:rPr>
        <w:t xml:space="preserve">periódicamente </w:t>
      </w:r>
      <w:r w:rsidR="002137D3">
        <w:rPr>
          <w:rFonts w:ascii="Times New Roman" w:hAnsi="Times New Roman"/>
          <w:sz w:val="24"/>
          <w:szCs w:val="24"/>
        </w:rPr>
        <w:t xml:space="preserve">distribuye </w:t>
      </w:r>
      <w:r w:rsidRPr="00A25C80">
        <w:rPr>
          <w:rFonts w:ascii="Times New Roman" w:hAnsi="Times New Roman"/>
          <w:sz w:val="24"/>
          <w:szCs w:val="24"/>
        </w:rPr>
        <w:t>sus costos indirectos (cuenta 79) a los costos por prestación de servicios (cuenta 63)</w:t>
      </w:r>
      <w:r w:rsidR="0095104B">
        <w:rPr>
          <w:rFonts w:ascii="Times New Roman" w:hAnsi="Times New Roman"/>
          <w:sz w:val="24"/>
          <w:szCs w:val="24"/>
        </w:rPr>
        <w:t>;</w:t>
      </w:r>
      <w:r w:rsidRPr="00A25C80">
        <w:rPr>
          <w:rFonts w:ascii="Times New Roman" w:hAnsi="Times New Roman"/>
          <w:sz w:val="24"/>
          <w:szCs w:val="24"/>
        </w:rPr>
        <w:t xml:space="preserve"> para el corte del </w:t>
      </w:r>
      <w:r w:rsidR="00244708">
        <w:rPr>
          <w:rFonts w:ascii="Times New Roman" w:hAnsi="Times New Roman"/>
          <w:sz w:val="24"/>
          <w:szCs w:val="24"/>
        </w:rPr>
        <w:t>31</w:t>
      </w:r>
      <w:r w:rsidR="007831C9">
        <w:rPr>
          <w:rFonts w:ascii="Times New Roman" w:hAnsi="Times New Roman"/>
          <w:sz w:val="24"/>
          <w:szCs w:val="24"/>
        </w:rPr>
        <w:t xml:space="preserve"> </w:t>
      </w:r>
      <w:r w:rsidR="00432519">
        <w:rPr>
          <w:rFonts w:ascii="Times New Roman" w:hAnsi="Times New Roman"/>
          <w:sz w:val="24"/>
          <w:szCs w:val="24"/>
        </w:rPr>
        <w:t>marzo 2022</w:t>
      </w:r>
      <w:r w:rsidR="00B63813">
        <w:rPr>
          <w:rFonts w:ascii="Times New Roman" w:hAnsi="Times New Roman"/>
          <w:sz w:val="24"/>
          <w:szCs w:val="24"/>
        </w:rPr>
        <w:t>,</w:t>
      </w:r>
      <w:r w:rsidR="006544E1">
        <w:rPr>
          <w:rFonts w:ascii="Times New Roman" w:hAnsi="Times New Roman"/>
          <w:sz w:val="24"/>
          <w:szCs w:val="24"/>
        </w:rPr>
        <w:t xml:space="preserve"> l</w:t>
      </w:r>
      <w:r w:rsidR="00D83D74" w:rsidRPr="00D83D74">
        <w:rPr>
          <w:rFonts w:ascii="Times New Roman" w:hAnsi="Times New Roman"/>
          <w:sz w:val="24"/>
          <w:szCs w:val="24"/>
        </w:rPr>
        <w:t>os costos de prestación de un servicio se m</w:t>
      </w:r>
      <w:r w:rsidR="00665F53">
        <w:rPr>
          <w:rFonts w:ascii="Times New Roman" w:hAnsi="Times New Roman"/>
          <w:sz w:val="24"/>
          <w:szCs w:val="24"/>
        </w:rPr>
        <w:t>iden</w:t>
      </w:r>
      <w:r w:rsidR="00D83D74" w:rsidRPr="00D83D74">
        <w:rPr>
          <w:rFonts w:ascii="Times New Roman" w:hAnsi="Times New Roman"/>
          <w:sz w:val="24"/>
          <w:szCs w:val="24"/>
        </w:rPr>
        <w:t xml:space="preserve"> por las erogaciones y cargos de mano de obra, materiales y costos indirectos en los que se haya incurrido y que estén asociados a la prestación de este</w:t>
      </w:r>
      <w:r w:rsidR="00921A30">
        <w:rPr>
          <w:rFonts w:ascii="Times New Roman" w:hAnsi="Times New Roman"/>
          <w:sz w:val="24"/>
          <w:szCs w:val="24"/>
        </w:rPr>
        <w:t xml:space="preserve">; </w:t>
      </w:r>
      <w:r w:rsidRPr="00A25C80">
        <w:rPr>
          <w:rFonts w:ascii="Times New Roman" w:hAnsi="Times New Roman"/>
          <w:sz w:val="24"/>
          <w:szCs w:val="24"/>
        </w:rPr>
        <w:t>al realizar dicha distribuci</w:t>
      </w:r>
      <w:r w:rsidR="008F585B">
        <w:rPr>
          <w:rFonts w:ascii="Times New Roman" w:hAnsi="Times New Roman"/>
          <w:sz w:val="24"/>
          <w:szCs w:val="24"/>
        </w:rPr>
        <w:t xml:space="preserve">ón </w:t>
      </w:r>
      <w:r w:rsidRPr="00A25C80">
        <w:rPr>
          <w:rFonts w:ascii="Times New Roman" w:hAnsi="Times New Roman"/>
          <w:sz w:val="24"/>
          <w:szCs w:val="24"/>
        </w:rPr>
        <w:t>se presenta una utilidad o ganancia bruta de $</w:t>
      </w:r>
      <w:r w:rsidR="00244708">
        <w:rPr>
          <w:rFonts w:ascii="Times New Roman" w:hAnsi="Times New Roman"/>
          <w:sz w:val="24"/>
          <w:szCs w:val="24"/>
        </w:rPr>
        <w:t>2</w:t>
      </w:r>
      <w:r w:rsidR="00497492">
        <w:rPr>
          <w:rFonts w:ascii="Times New Roman" w:hAnsi="Times New Roman"/>
          <w:sz w:val="24"/>
          <w:szCs w:val="24"/>
        </w:rPr>
        <w:t>4</w:t>
      </w:r>
      <w:r w:rsidRPr="00A25C80">
        <w:rPr>
          <w:rFonts w:ascii="Times New Roman" w:hAnsi="Times New Roman"/>
          <w:sz w:val="24"/>
          <w:szCs w:val="24"/>
        </w:rPr>
        <w:t>.</w:t>
      </w:r>
      <w:r w:rsidR="00244708">
        <w:rPr>
          <w:rFonts w:ascii="Times New Roman" w:hAnsi="Times New Roman"/>
          <w:sz w:val="24"/>
          <w:szCs w:val="24"/>
        </w:rPr>
        <w:t>27</w:t>
      </w:r>
      <w:r w:rsidR="00497492">
        <w:rPr>
          <w:rFonts w:ascii="Times New Roman" w:hAnsi="Times New Roman"/>
          <w:sz w:val="24"/>
          <w:szCs w:val="24"/>
        </w:rPr>
        <w:t>1</w:t>
      </w:r>
      <w:r w:rsidR="009B49AC">
        <w:rPr>
          <w:rFonts w:ascii="Times New Roman" w:hAnsi="Times New Roman"/>
          <w:sz w:val="24"/>
          <w:szCs w:val="24"/>
        </w:rPr>
        <w:t>.</w:t>
      </w:r>
      <w:r w:rsidR="00244708">
        <w:rPr>
          <w:rFonts w:ascii="Times New Roman" w:hAnsi="Times New Roman"/>
          <w:sz w:val="24"/>
          <w:szCs w:val="24"/>
        </w:rPr>
        <w:t>493</w:t>
      </w:r>
      <w:r w:rsidR="009B49AC">
        <w:rPr>
          <w:rFonts w:ascii="Times New Roman" w:hAnsi="Times New Roman"/>
          <w:sz w:val="24"/>
          <w:szCs w:val="24"/>
        </w:rPr>
        <w:t>.</w:t>
      </w:r>
      <w:r w:rsidR="00244708">
        <w:rPr>
          <w:rFonts w:ascii="Times New Roman" w:hAnsi="Times New Roman"/>
          <w:sz w:val="24"/>
          <w:szCs w:val="24"/>
        </w:rPr>
        <w:t>306</w:t>
      </w:r>
      <w:r w:rsidR="00B138F0">
        <w:rPr>
          <w:rFonts w:ascii="Times New Roman" w:hAnsi="Times New Roman"/>
          <w:sz w:val="24"/>
          <w:szCs w:val="24"/>
        </w:rPr>
        <w:t xml:space="preserve">; la cual </w:t>
      </w:r>
      <w:r w:rsidR="00B138F0" w:rsidRPr="00B138F0">
        <w:rPr>
          <w:rFonts w:ascii="Times New Roman" w:hAnsi="Times New Roman"/>
          <w:sz w:val="24"/>
          <w:szCs w:val="24"/>
        </w:rPr>
        <w:t>refleja los efectos en las estimaciones realizadas al medir los ingresos relacionados con las pruebas y, la respectiva distribución de los costos indirectos (cuenta 79) al costo por prestación de servicios (cuenta 63).</w:t>
      </w:r>
    </w:p>
    <w:p w14:paraId="21565A8C" w14:textId="77777777" w:rsidR="00B138F0" w:rsidRDefault="00B138F0" w:rsidP="00A25C80">
      <w:pPr>
        <w:spacing w:after="0" w:line="240" w:lineRule="auto"/>
        <w:jc w:val="both"/>
        <w:rPr>
          <w:rFonts w:ascii="Times New Roman" w:hAnsi="Times New Roman"/>
          <w:sz w:val="24"/>
          <w:szCs w:val="24"/>
        </w:rPr>
      </w:pPr>
    </w:p>
    <w:p w14:paraId="6C3D65E3" w14:textId="49B434B2" w:rsidR="00594AD1" w:rsidRDefault="00A25C80" w:rsidP="00A25C80">
      <w:pPr>
        <w:spacing w:after="0" w:line="240" w:lineRule="auto"/>
        <w:jc w:val="both"/>
        <w:rPr>
          <w:rFonts w:ascii="Times New Roman" w:hAnsi="Times New Roman"/>
          <w:sz w:val="24"/>
          <w:szCs w:val="24"/>
        </w:rPr>
      </w:pPr>
      <w:r w:rsidRPr="00A25C80">
        <w:rPr>
          <w:rFonts w:ascii="Times New Roman" w:hAnsi="Times New Roman"/>
          <w:sz w:val="24"/>
          <w:szCs w:val="24"/>
        </w:rPr>
        <w:t>Teniendo en cuenta lo anteriormente mencionado y de manera excepcional, se reconocerán inventarios de prestadores de servicios, cuando la empresa haya incurrido en costos, pero no haya reconocido el ingreso asociado, debido a que este no ha cumplido los criterios para su reconocimiento de acuerdo con la Norma de ingresos de actividades ordinarias. El valor de los inventarios de un prestador de servicios se medirá por los costos en los que se haya incurrido y que estén asociados con la prestación del servicio (Capitulo 9.2.2.2. Prestación de servicios párrafo 17).</w:t>
      </w:r>
    </w:p>
    <w:p w14:paraId="2B8E6D14" w14:textId="78B8328C" w:rsidR="00981636" w:rsidRDefault="00981636" w:rsidP="00A25C80">
      <w:pPr>
        <w:spacing w:after="0" w:line="240" w:lineRule="auto"/>
        <w:jc w:val="both"/>
        <w:rPr>
          <w:rFonts w:ascii="Times New Roman" w:hAnsi="Times New Roman"/>
          <w:sz w:val="24"/>
          <w:szCs w:val="24"/>
        </w:rPr>
      </w:pPr>
    </w:p>
    <w:p w14:paraId="4D782CB4" w14:textId="77777777" w:rsidR="00D70618" w:rsidRDefault="00D70618" w:rsidP="00A25C80">
      <w:pPr>
        <w:spacing w:after="0" w:line="240" w:lineRule="auto"/>
        <w:jc w:val="both"/>
        <w:rPr>
          <w:rFonts w:ascii="Times New Roman" w:hAnsi="Times New Roman"/>
          <w:sz w:val="24"/>
          <w:szCs w:val="24"/>
        </w:rPr>
      </w:pPr>
    </w:p>
    <w:p w14:paraId="74855CE0" w14:textId="77777777" w:rsidR="00CE7007" w:rsidRPr="00E2373F" w:rsidRDefault="00CE7007" w:rsidP="00CE7007">
      <w:pPr>
        <w:pStyle w:val="Ttulo1"/>
      </w:pPr>
      <w:bookmarkStart w:id="114" w:name="_Toc73043661"/>
      <w:bookmarkStart w:id="115" w:name="_Toc99455380"/>
      <w:r w:rsidRPr="00E2373F">
        <w:lastRenderedPageBreak/>
        <w:t>NOTA 3</w:t>
      </w:r>
      <w:r>
        <w:t>4</w:t>
      </w:r>
      <w:r w:rsidRPr="00E2373F">
        <w:t>. EFECTOS DE LAS VARIACIONES EN LAS TASAS DE CAMBIO DE LA MONEDA EXTRANJERA</w:t>
      </w:r>
      <w:bookmarkEnd w:id="114"/>
      <w:bookmarkEnd w:id="115"/>
    </w:p>
    <w:p w14:paraId="3B49055F" w14:textId="77777777" w:rsidR="00CE7007" w:rsidRPr="00E2373F" w:rsidRDefault="00CE7007" w:rsidP="00CE7007">
      <w:pPr>
        <w:spacing w:after="0" w:line="240" w:lineRule="auto"/>
        <w:jc w:val="both"/>
        <w:rPr>
          <w:rFonts w:ascii="Times New Roman" w:hAnsi="Times New Roman"/>
          <w:b/>
          <w:sz w:val="24"/>
          <w:szCs w:val="24"/>
        </w:rPr>
      </w:pPr>
    </w:p>
    <w:p w14:paraId="7B5FDB0F" w14:textId="77777777" w:rsidR="00CE7007" w:rsidRPr="00E738BD" w:rsidRDefault="00CE7007" w:rsidP="00CE7007">
      <w:pPr>
        <w:pStyle w:val="Ttulo2"/>
        <w:numPr>
          <w:ilvl w:val="0"/>
          <w:numId w:val="0"/>
        </w:numPr>
      </w:pPr>
      <w:bookmarkStart w:id="116" w:name="_Toc73043662"/>
      <w:bookmarkStart w:id="117" w:name="_Toc99455381"/>
      <w:r w:rsidRPr="00E738BD">
        <w:t>Composición</w:t>
      </w:r>
      <w:bookmarkEnd w:id="116"/>
      <w:bookmarkEnd w:id="117"/>
    </w:p>
    <w:p w14:paraId="2763CE94" w14:textId="77777777" w:rsidR="00CE7007" w:rsidRPr="00E2373F" w:rsidRDefault="00CE7007" w:rsidP="00CE7007">
      <w:pPr>
        <w:pStyle w:val="Prrafodelista"/>
        <w:spacing w:after="0" w:line="240" w:lineRule="auto"/>
        <w:jc w:val="both"/>
        <w:rPr>
          <w:rFonts w:ascii="Times New Roman" w:hAnsi="Times New Roman"/>
          <w:sz w:val="24"/>
          <w:szCs w:val="24"/>
        </w:rPr>
      </w:pPr>
    </w:p>
    <w:p w14:paraId="3AF8CE9F" w14:textId="5A341C27" w:rsidR="00CE7007" w:rsidRPr="00E2373F" w:rsidRDefault="00CE7007" w:rsidP="00CE7007">
      <w:pPr>
        <w:pStyle w:val="Prrafodelista"/>
        <w:spacing w:after="0" w:line="240" w:lineRule="auto"/>
        <w:ind w:left="0"/>
        <w:jc w:val="both"/>
        <w:rPr>
          <w:rFonts w:ascii="Times New Roman" w:hAnsi="Times New Roman"/>
          <w:sz w:val="24"/>
          <w:szCs w:val="24"/>
          <w:u w:val="single"/>
        </w:rPr>
      </w:pPr>
      <w:r w:rsidRPr="004B7742">
        <w:rPr>
          <w:rFonts w:ascii="Times New Roman" w:hAnsi="Times New Roman"/>
          <w:sz w:val="24"/>
          <w:szCs w:val="24"/>
        </w:rPr>
        <w:t>La desagregación de los efectos de las variaciones en las tasas de cambio de moneda extranjera presentados en el estado de resultados para los periodos contables terminados el</w:t>
      </w:r>
      <w:r w:rsidRPr="000C353E">
        <w:rPr>
          <w:rFonts w:ascii="Times New Roman" w:hAnsi="Times New Roman"/>
          <w:sz w:val="24"/>
          <w:szCs w:val="24"/>
        </w:rPr>
        <w:t xml:space="preserve"> </w:t>
      </w:r>
      <w:r w:rsidR="00B27577">
        <w:rPr>
          <w:rFonts w:ascii="Times New Roman" w:hAnsi="Times New Roman"/>
          <w:sz w:val="24"/>
          <w:szCs w:val="24"/>
        </w:rPr>
        <w:t>31/03/2022 y 31/03/2021</w:t>
      </w:r>
      <w:r w:rsidRPr="000C353E">
        <w:rPr>
          <w:rFonts w:ascii="Times New Roman" w:hAnsi="Times New Roman"/>
          <w:sz w:val="24"/>
          <w:szCs w:val="24"/>
        </w:rPr>
        <w:t xml:space="preserve"> es la siguiente:</w:t>
      </w:r>
    </w:p>
    <w:p w14:paraId="761B6ED8" w14:textId="69446BB1" w:rsidR="00CE7007" w:rsidRDefault="00D70618" w:rsidP="00CE7007">
      <w:pPr>
        <w:pStyle w:val="Prrafodelista"/>
        <w:spacing w:after="0" w:line="240" w:lineRule="auto"/>
        <w:ind w:left="0"/>
        <w:jc w:val="center"/>
        <w:rPr>
          <w:noProof/>
        </w:rPr>
      </w:pPr>
      <w:r w:rsidRPr="00D70618">
        <w:rPr>
          <w:noProof/>
        </w:rPr>
        <w:drawing>
          <wp:anchor distT="0" distB="0" distL="114300" distR="114300" simplePos="0" relativeHeight="252763136" behindDoc="1" locked="0" layoutInCell="1" allowOverlap="1" wp14:anchorId="61E9F180" wp14:editId="75382CC3">
            <wp:simplePos x="0" y="0"/>
            <wp:positionH relativeFrom="column">
              <wp:posOffset>0</wp:posOffset>
            </wp:positionH>
            <wp:positionV relativeFrom="paragraph">
              <wp:posOffset>99060</wp:posOffset>
            </wp:positionV>
            <wp:extent cx="5881370" cy="926465"/>
            <wp:effectExtent l="0" t="0" r="5080" b="6985"/>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81370" cy="926465"/>
                    </a:xfrm>
                    <a:prstGeom prst="rect">
                      <a:avLst/>
                    </a:prstGeom>
                    <a:noFill/>
                    <a:ln>
                      <a:noFill/>
                    </a:ln>
                  </pic:spPr>
                </pic:pic>
              </a:graphicData>
            </a:graphic>
          </wp:anchor>
        </w:drawing>
      </w:r>
    </w:p>
    <w:p w14:paraId="15784071" w14:textId="27C7DE2F" w:rsidR="00CE7007" w:rsidRDefault="00CE7007" w:rsidP="00CE7007">
      <w:pPr>
        <w:spacing w:after="0" w:line="240" w:lineRule="auto"/>
        <w:jc w:val="both"/>
        <w:rPr>
          <w:rFonts w:ascii="Times New Roman" w:hAnsi="Times New Roman"/>
          <w:sz w:val="24"/>
          <w:szCs w:val="24"/>
        </w:rPr>
      </w:pPr>
    </w:p>
    <w:p w14:paraId="414CFF26" w14:textId="77777777" w:rsidR="00CE7007" w:rsidRDefault="00CE7007" w:rsidP="00CE7007">
      <w:pPr>
        <w:spacing w:after="0" w:line="240" w:lineRule="auto"/>
        <w:jc w:val="both"/>
        <w:rPr>
          <w:rFonts w:ascii="Times New Roman" w:hAnsi="Times New Roman"/>
          <w:sz w:val="24"/>
          <w:szCs w:val="24"/>
        </w:rPr>
      </w:pPr>
    </w:p>
    <w:p w14:paraId="41E53550" w14:textId="77777777" w:rsidR="00CE7007" w:rsidRDefault="00CE7007" w:rsidP="00CE7007">
      <w:pPr>
        <w:spacing w:after="0" w:line="240" w:lineRule="auto"/>
        <w:jc w:val="both"/>
        <w:rPr>
          <w:rFonts w:ascii="Times New Roman" w:hAnsi="Times New Roman"/>
          <w:sz w:val="24"/>
          <w:szCs w:val="24"/>
        </w:rPr>
      </w:pPr>
    </w:p>
    <w:p w14:paraId="113B161B" w14:textId="77777777" w:rsidR="00CE7007" w:rsidRDefault="00CE7007" w:rsidP="00CE7007">
      <w:pPr>
        <w:spacing w:after="0" w:line="240" w:lineRule="auto"/>
        <w:jc w:val="both"/>
        <w:rPr>
          <w:rFonts w:ascii="Times New Roman" w:hAnsi="Times New Roman"/>
          <w:sz w:val="24"/>
          <w:szCs w:val="24"/>
        </w:rPr>
      </w:pPr>
    </w:p>
    <w:p w14:paraId="22CBCDB2" w14:textId="77777777" w:rsidR="00CE7007" w:rsidRDefault="00CE7007" w:rsidP="00CE7007">
      <w:pPr>
        <w:spacing w:after="0" w:line="240" w:lineRule="auto"/>
        <w:jc w:val="both"/>
        <w:rPr>
          <w:rFonts w:ascii="Times New Roman" w:hAnsi="Times New Roman"/>
          <w:sz w:val="24"/>
          <w:szCs w:val="24"/>
        </w:rPr>
      </w:pPr>
    </w:p>
    <w:p w14:paraId="104CDCF5" w14:textId="77777777" w:rsidR="00D70618" w:rsidRDefault="00D70618" w:rsidP="00D70618">
      <w:pPr>
        <w:pStyle w:val="Ttulo2"/>
        <w:numPr>
          <w:ilvl w:val="0"/>
          <w:numId w:val="0"/>
        </w:numPr>
        <w:ind w:left="567"/>
      </w:pPr>
      <w:bookmarkStart w:id="118" w:name="_Toc64973351"/>
      <w:bookmarkStart w:id="119" w:name="_Toc73043663"/>
      <w:bookmarkStart w:id="120" w:name="_Toc99455382"/>
    </w:p>
    <w:p w14:paraId="0F3EA640" w14:textId="071A2011" w:rsidR="00CE7007" w:rsidRPr="00E738BD" w:rsidRDefault="00CE7007" w:rsidP="00CE7007">
      <w:pPr>
        <w:pStyle w:val="Ttulo2"/>
        <w:numPr>
          <w:ilvl w:val="1"/>
          <w:numId w:val="23"/>
        </w:numPr>
        <w:ind w:left="567" w:hanging="567"/>
      </w:pPr>
      <w:r w:rsidRPr="00E738BD">
        <w:t>Conciliación de ajustes por diferencia en cambio</w:t>
      </w:r>
      <w:bookmarkEnd w:id="118"/>
      <w:bookmarkEnd w:id="119"/>
      <w:bookmarkEnd w:id="120"/>
    </w:p>
    <w:p w14:paraId="717C926E" w14:textId="28C713B2" w:rsidR="00CE7007" w:rsidRDefault="00497492" w:rsidP="00CE7007">
      <w:pPr>
        <w:spacing w:after="0" w:line="240" w:lineRule="auto"/>
        <w:jc w:val="both"/>
        <w:rPr>
          <w:rFonts w:ascii="Times New Roman" w:hAnsi="Times New Roman"/>
          <w:sz w:val="24"/>
          <w:szCs w:val="24"/>
        </w:rPr>
      </w:pPr>
      <w:r w:rsidRPr="00497492">
        <w:rPr>
          <w:noProof/>
        </w:rPr>
        <w:drawing>
          <wp:anchor distT="0" distB="0" distL="114300" distR="114300" simplePos="0" relativeHeight="252698624" behindDoc="1" locked="0" layoutInCell="1" allowOverlap="1" wp14:anchorId="158D977B" wp14:editId="2BAA4A86">
            <wp:simplePos x="0" y="0"/>
            <wp:positionH relativeFrom="column">
              <wp:posOffset>0</wp:posOffset>
            </wp:positionH>
            <wp:positionV relativeFrom="paragraph">
              <wp:posOffset>167640</wp:posOffset>
            </wp:positionV>
            <wp:extent cx="5881370" cy="1275080"/>
            <wp:effectExtent l="0" t="0" r="5080" b="127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1370" cy="1275080"/>
                    </a:xfrm>
                    <a:prstGeom prst="rect">
                      <a:avLst/>
                    </a:prstGeom>
                    <a:noFill/>
                    <a:ln>
                      <a:noFill/>
                    </a:ln>
                  </pic:spPr>
                </pic:pic>
              </a:graphicData>
            </a:graphic>
          </wp:anchor>
        </w:drawing>
      </w:r>
    </w:p>
    <w:p w14:paraId="530A741B" w14:textId="77777777" w:rsidR="00CE7007" w:rsidRDefault="00CE7007" w:rsidP="00CE7007">
      <w:pPr>
        <w:spacing w:after="0" w:line="240" w:lineRule="auto"/>
        <w:jc w:val="both"/>
        <w:rPr>
          <w:rFonts w:ascii="Times New Roman" w:hAnsi="Times New Roman"/>
          <w:sz w:val="24"/>
          <w:szCs w:val="24"/>
        </w:rPr>
      </w:pPr>
    </w:p>
    <w:p w14:paraId="53150A3F" w14:textId="77777777" w:rsidR="00CE7007" w:rsidRDefault="00CE7007" w:rsidP="00CE7007">
      <w:pPr>
        <w:spacing w:after="0" w:line="240" w:lineRule="auto"/>
        <w:jc w:val="both"/>
        <w:rPr>
          <w:rFonts w:ascii="Times New Roman" w:hAnsi="Times New Roman"/>
          <w:sz w:val="24"/>
          <w:szCs w:val="24"/>
        </w:rPr>
      </w:pPr>
    </w:p>
    <w:p w14:paraId="6936F5F1" w14:textId="77777777" w:rsidR="00CE7007" w:rsidRDefault="00CE7007" w:rsidP="00CE7007">
      <w:pPr>
        <w:spacing w:after="0" w:line="240" w:lineRule="auto"/>
        <w:jc w:val="both"/>
        <w:rPr>
          <w:rFonts w:ascii="Times New Roman" w:hAnsi="Times New Roman"/>
          <w:sz w:val="24"/>
          <w:szCs w:val="24"/>
        </w:rPr>
      </w:pPr>
    </w:p>
    <w:p w14:paraId="7C85FD55" w14:textId="77777777" w:rsidR="00CE7007" w:rsidRDefault="00CE7007" w:rsidP="00CE7007">
      <w:pPr>
        <w:spacing w:after="0" w:line="240" w:lineRule="auto"/>
        <w:jc w:val="both"/>
        <w:rPr>
          <w:rFonts w:ascii="Times New Roman" w:hAnsi="Times New Roman"/>
          <w:sz w:val="24"/>
          <w:szCs w:val="24"/>
        </w:rPr>
      </w:pPr>
    </w:p>
    <w:p w14:paraId="3B549D77" w14:textId="77777777" w:rsidR="00CE7007" w:rsidRDefault="00CE7007" w:rsidP="00CE7007">
      <w:pPr>
        <w:spacing w:after="0" w:line="240" w:lineRule="auto"/>
        <w:jc w:val="both"/>
        <w:rPr>
          <w:rFonts w:ascii="Times New Roman" w:hAnsi="Times New Roman"/>
          <w:sz w:val="24"/>
          <w:szCs w:val="24"/>
        </w:rPr>
      </w:pPr>
    </w:p>
    <w:p w14:paraId="3829B42D" w14:textId="77777777" w:rsidR="00CE7007" w:rsidRDefault="00CE7007" w:rsidP="00CE7007">
      <w:pPr>
        <w:spacing w:after="0" w:line="240" w:lineRule="auto"/>
        <w:jc w:val="both"/>
        <w:rPr>
          <w:rFonts w:ascii="Times New Roman" w:hAnsi="Times New Roman"/>
          <w:sz w:val="24"/>
          <w:szCs w:val="24"/>
        </w:rPr>
      </w:pPr>
    </w:p>
    <w:p w14:paraId="32F1E2F0" w14:textId="77777777" w:rsidR="00CE7007" w:rsidRDefault="00CE7007" w:rsidP="00CE7007">
      <w:pPr>
        <w:spacing w:after="0" w:line="240" w:lineRule="auto"/>
        <w:jc w:val="both"/>
        <w:rPr>
          <w:rFonts w:ascii="Times New Roman" w:hAnsi="Times New Roman"/>
          <w:sz w:val="24"/>
          <w:szCs w:val="24"/>
        </w:rPr>
      </w:pPr>
    </w:p>
    <w:p w14:paraId="049BDAB2" w14:textId="77777777" w:rsidR="00CE7007" w:rsidRDefault="00CE7007" w:rsidP="00CE7007">
      <w:pPr>
        <w:spacing w:after="0" w:line="240" w:lineRule="auto"/>
        <w:jc w:val="both"/>
        <w:rPr>
          <w:rFonts w:ascii="Times New Roman" w:hAnsi="Times New Roman"/>
          <w:sz w:val="24"/>
          <w:szCs w:val="24"/>
        </w:rPr>
      </w:pPr>
    </w:p>
    <w:p w14:paraId="6A219968" w14:textId="77777777" w:rsidR="00CE7007" w:rsidRPr="004B7742" w:rsidRDefault="00CE7007" w:rsidP="00CE7007">
      <w:pPr>
        <w:spacing w:after="0" w:line="240" w:lineRule="auto"/>
        <w:jc w:val="both"/>
        <w:rPr>
          <w:rFonts w:ascii="Times New Roman" w:hAnsi="Times New Roman"/>
          <w:sz w:val="24"/>
          <w:szCs w:val="24"/>
        </w:rPr>
      </w:pPr>
      <w:r w:rsidRPr="004B7742">
        <w:rPr>
          <w:rFonts w:ascii="Times New Roman" w:hAnsi="Times New Roman"/>
          <w:sz w:val="24"/>
          <w:szCs w:val="24"/>
        </w:rPr>
        <w:t xml:space="preserve">Los </w:t>
      </w:r>
      <w:r>
        <w:rPr>
          <w:rFonts w:ascii="Times New Roman" w:hAnsi="Times New Roman"/>
          <w:sz w:val="24"/>
          <w:szCs w:val="24"/>
        </w:rPr>
        <w:t xml:space="preserve">ingresos </w:t>
      </w:r>
      <w:r w:rsidRPr="004B7742">
        <w:rPr>
          <w:rFonts w:ascii="Times New Roman" w:hAnsi="Times New Roman"/>
          <w:sz w:val="24"/>
          <w:szCs w:val="24"/>
        </w:rPr>
        <w:t>por diferencia en cambio son originados por las transacciones en moneda extranjera que son convertidas a la moneda funcional respectiva de la entidad en las fechas de las transacciones; esto ocurre principalmente cuando se factura y recauda en dólares debido a la aplicación y desarrollo de pruebas a entidades del exterior como son Inicia Education Foundation y UNESCO.</w:t>
      </w:r>
    </w:p>
    <w:p w14:paraId="51138295" w14:textId="77777777" w:rsidR="00CE7007" w:rsidRDefault="00CE7007" w:rsidP="00A25C80">
      <w:pPr>
        <w:spacing w:after="0" w:line="240" w:lineRule="auto"/>
        <w:jc w:val="both"/>
        <w:rPr>
          <w:rFonts w:ascii="Times New Roman" w:hAnsi="Times New Roman"/>
          <w:sz w:val="24"/>
          <w:szCs w:val="24"/>
        </w:rPr>
      </w:pPr>
    </w:p>
    <w:p w14:paraId="07687BEF" w14:textId="0E1A3ECB" w:rsidR="007E1130" w:rsidRPr="007E1130" w:rsidRDefault="007E1130" w:rsidP="007E1130">
      <w:pPr>
        <w:spacing w:after="0" w:line="240" w:lineRule="auto"/>
        <w:jc w:val="both"/>
        <w:rPr>
          <w:rFonts w:ascii="Times New Roman" w:hAnsi="Times New Roman"/>
          <w:b/>
          <w:bCs/>
          <w:sz w:val="24"/>
          <w:szCs w:val="24"/>
        </w:rPr>
      </w:pPr>
      <w:r>
        <w:rPr>
          <w:rFonts w:ascii="Times New Roman" w:hAnsi="Times New Roman"/>
          <w:b/>
          <w:bCs/>
          <w:sz w:val="24"/>
          <w:szCs w:val="24"/>
        </w:rPr>
        <w:t xml:space="preserve">Eventos subsecuentes </w:t>
      </w:r>
      <w:r w:rsidR="00CD3264" w:rsidRPr="00CD3264">
        <w:rPr>
          <w:rFonts w:ascii="Times New Roman" w:hAnsi="Times New Roman"/>
          <w:b/>
          <w:bCs/>
          <w:sz w:val="24"/>
          <w:szCs w:val="24"/>
        </w:rPr>
        <w:t xml:space="preserve">después del periodo sobre el que se informa </w:t>
      </w:r>
    </w:p>
    <w:p w14:paraId="4E6724B0" w14:textId="77777777" w:rsidR="007E1130" w:rsidRPr="007E1130" w:rsidRDefault="007E1130" w:rsidP="007E1130">
      <w:pPr>
        <w:spacing w:after="0" w:line="240" w:lineRule="auto"/>
        <w:jc w:val="both"/>
        <w:rPr>
          <w:rFonts w:ascii="Times New Roman" w:hAnsi="Times New Roman"/>
          <w:sz w:val="24"/>
          <w:szCs w:val="24"/>
        </w:rPr>
      </w:pPr>
    </w:p>
    <w:p w14:paraId="03CA512F" w14:textId="7211656A" w:rsidR="003711D1" w:rsidRDefault="007E1130" w:rsidP="007E1130">
      <w:pPr>
        <w:spacing w:after="0" w:line="240" w:lineRule="auto"/>
        <w:jc w:val="both"/>
        <w:rPr>
          <w:rFonts w:ascii="Times New Roman" w:hAnsi="Times New Roman"/>
          <w:sz w:val="24"/>
          <w:szCs w:val="24"/>
        </w:rPr>
      </w:pPr>
      <w:r w:rsidRPr="007E1130">
        <w:rPr>
          <w:rFonts w:ascii="Times New Roman" w:hAnsi="Times New Roman"/>
          <w:sz w:val="24"/>
          <w:szCs w:val="24"/>
        </w:rPr>
        <w:t xml:space="preserve">Entre el </w:t>
      </w:r>
      <w:r w:rsidR="00E66458">
        <w:rPr>
          <w:rFonts w:ascii="Times New Roman" w:hAnsi="Times New Roman"/>
          <w:sz w:val="24"/>
          <w:szCs w:val="24"/>
        </w:rPr>
        <w:t>31 marzo de 2022</w:t>
      </w:r>
      <w:r w:rsidRPr="007E1130">
        <w:rPr>
          <w:rFonts w:ascii="Times New Roman" w:hAnsi="Times New Roman"/>
          <w:sz w:val="24"/>
          <w:szCs w:val="24"/>
        </w:rPr>
        <w:t xml:space="preserve"> y la fecha de emisión de los presentes estados financieros, no han ocurrido eventos significativos que pudieran afectar las cifras registradas en los estados financieros.  </w:t>
      </w:r>
    </w:p>
    <w:p w14:paraId="6C7D3308" w14:textId="313117E0" w:rsidR="00B92DBA" w:rsidRDefault="00B92DBA" w:rsidP="007E1130">
      <w:pPr>
        <w:spacing w:after="0" w:line="240" w:lineRule="auto"/>
        <w:jc w:val="both"/>
        <w:rPr>
          <w:rFonts w:ascii="Times New Roman" w:hAnsi="Times New Roman"/>
          <w:sz w:val="24"/>
          <w:szCs w:val="24"/>
        </w:rPr>
      </w:pPr>
    </w:p>
    <w:p w14:paraId="46D0A574" w14:textId="77777777" w:rsidR="008B0469" w:rsidRDefault="008B0469" w:rsidP="00B81DCF">
      <w:pPr>
        <w:spacing w:after="0" w:line="240" w:lineRule="auto"/>
        <w:jc w:val="both"/>
        <w:rPr>
          <w:rFonts w:ascii="Times New Roman" w:hAnsi="Times New Roman"/>
          <w:szCs w:val="24"/>
        </w:rPr>
      </w:pPr>
    </w:p>
    <w:p w14:paraId="047B4DFF" w14:textId="36F3ECCF" w:rsidR="00B81DCF" w:rsidRPr="00C9576F" w:rsidRDefault="00B81DCF" w:rsidP="00B81DCF">
      <w:pPr>
        <w:spacing w:after="0" w:line="240" w:lineRule="auto"/>
        <w:jc w:val="both"/>
        <w:rPr>
          <w:rFonts w:ascii="Times New Roman" w:hAnsi="Times New Roman"/>
          <w:szCs w:val="24"/>
        </w:rPr>
      </w:pPr>
      <w:r w:rsidRPr="00C9576F">
        <w:rPr>
          <w:rFonts w:ascii="Times New Roman" w:hAnsi="Times New Roman"/>
          <w:szCs w:val="24"/>
        </w:rPr>
        <w:t>Aprobó:    Ciro González Ramírez, Secretario General</w:t>
      </w:r>
    </w:p>
    <w:p w14:paraId="24DF6BDC" w14:textId="77777777" w:rsidR="00B81DCF" w:rsidRPr="00C9576F" w:rsidRDefault="00B81DCF" w:rsidP="00B81DCF">
      <w:pPr>
        <w:spacing w:after="0" w:line="240" w:lineRule="auto"/>
        <w:jc w:val="both"/>
        <w:rPr>
          <w:rFonts w:ascii="Times New Roman" w:hAnsi="Times New Roman"/>
          <w:szCs w:val="24"/>
        </w:rPr>
      </w:pPr>
    </w:p>
    <w:p w14:paraId="096BD6D4" w14:textId="01BD8ABE" w:rsidR="00B81DCF" w:rsidRPr="00C9576F" w:rsidRDefault="00B81DCF" w:rsidP="00B81DCF">
      <w:pPr>
        <w:spacing w:after="0" w:line="240" w:lineRule="auto"/>
        <w:jc w:val="both"/>
        <w:rPr>
          <w:rFonts w:ascii="Times New Roman" w:hAnsi="Times New Roman"/>
          <w:szCs w:val="24"/>
        </w:rPr>
      </w:pPr>
      <w:r w:rsidRPr="00C9576F">
        <w:rPr>
          <w:rFonts w:ascii="Times New Roman" w:hAnsi="Times New Roman"/>
          <w:szCs w:val="24"/>
        </w:rPr>
        <w:t xml:space="preserve"> Revisó:    </w:t>
      </w:r>
      <w:r w:rsidR="00E778DF">
        <w:rPr>
          <w:rFonts w:ascii="Times New Roman" w:hAnsi="Times New Roman"/>
          <w:szCs w:val="24"/>
        </w:rPr>
        <w:t>William Abel Otero Millan</w:t>
      </w:r>
      <w:r w:rsidRPr="00C9576F">
        <w:rPr>
          <w:rFonts w:ascii="Times New Roman" w:hAnsi="Times New Roman"/>
          <w:szCs w:val="24"/>
        </w:rPr>
        <w:t xml:space="preserve">, Subdirector Financiero y Contable </w:t>
      </w:r>
    </w:p>
    <w:p w14:paraId="00A9ACC0" w14:textId="77777777" w:rsidR="00B81DCF" w:rsidRPr="00C9576F" w:rsidRDefault="00B81DCF" w:rsidP="00B81DCF">
      <w:pPr>
        <w:spacing w:after="0" w:line="240" w:lineRule="auto"/>
        <w:jc w:val="both"/>
        <w:rPr>
          <w:rFonts w:ascii="Times New Roman" w:hAnsi="Times New Roman"/>
          <w:szCs w:val="24"/>
        </w:rPr>
      </w:pPr>
    </w:p>
    <w:p w14:paraId="091D366C" w14:textId="73921B02" w:rsidR="00B81DCF" w:rsidRPr="00C9576F" w:rsidRDefault="00C82BF7" w:rsidP="00B81DCF">
      <w:pPr>
        <w:spacing w:after="0" w:line="240" w:lineRule="auto"/>
        <w:jc w:val="both"/>
        <w:rPr>
          <w:rFonts w:ascii="Times New Roman" w:hAnsi="Times New Roman"/>
          <w:szCs w:val="24"/>
        </w:rPr>
      </w:pPr>
      <w:r>
        <w:rPr>
          <w:rFonts w:ascii="Times New Roman" w:hAnsi="Times New Roman"/>
          <w:noProof/>
          <w:szCs w:val="24"/>
        </w:rPr>
        <w:drawing>
          <wp:anchor distT="0" distB="0" distL="114300" distR="114300" simplePos="0" relativeHeight="252764160" behindDoc="0" locked="0" layoutInCell="1" allowOverlap="1" wp14:anchorId="19C7CE0D" wp14:editId="7B45E33A">
            <wp:simplePos x="0" y="0"/>
            <wp:positionH relativeFrom="margin">
              <wp:posOffset>5210175</wp:posOffset>
            </wp:positionH>
            <wp:positionV relativeFrom="paragraph">
              <wp:posOffset>13970</wp:posOffset>
            </wp:positionV>
            <wp:extent cx="523875" cy="209550"/>
            <wp:effectExtent l="0" t="0" r="9525" b="0"/>
            <wp:wrapThrough wrapText="bothSides">
              <wp:wrapPolygon edited="0">
                <wp:start x="0" y="0"/>
                <wp:lineTo x="0" y="19636"/>
                <wp:lineTo x="21207" y="19636"/>
                <wp:lineTo x="21207" y="0"/>
                <wp:lineTo x="0" y="0"/>
              </wp:wrapPolygon>
            </wp:wrapThrough>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3875" cy="209550"/>
                    </a:xfrm>
                    <a:prstGeom prst="rect">
                      <a:avLst/>
                    </a:prstGeom>
                  </pic:spPr>
                </pic:pic>
              </a:graphicData>
            </a:graphic>
            <wp14:sizeRelH relativeFrom="margin">
              <wp14:pctWidth>0</wp14:pctWidth>
            </wp14:sizeRelH>
            <wp14:sizeRelV relativeFrom="margin">
              <wp14:pctHeight>0</wp14:pctHeight>
            </wp14:sizeRelV>
          </wp:anchor>
        </w:drawing>
      </w:r>
      <w:r w:rsidR="00B81DCF" w:rsidRPr="00C9576F">
        <w:rPr>
          <w:rFonts w:ascii="Times New Roman" w:hAnsi="Times New Roman"/>
          <w:szCs w:val="24"/>
        </w:rPr>
        <w:t xml:space="preserve"> Revisó:    José Vicente Hernández </w:t>
      </w:r>
      <w:proofErr w:type="spellStart"/>
      <w:r w:rsidR="00B81DCF" w:rsidRPr="00C9576F">
        <w:rPr>
          <w:rFonts w:ascii="Times New Roman" w:hAnsi="Times New Roman"/>
          <w:szCs w:val="24"/>
        </w:rPr>
        <w:t>Botía</w:t>
      </w:r>
      <w:proofErr w:type="spellEnd"/>
      <w:r w:rsidR="00B81DCF" w:rsidRPr="00C9576F">
        <w:rPr>
          <w:rFonts w:ascii="Times New Roman" w:hAnsi="Times New Roman"/>
          <w:szCs w:val="24"/>
        </w:rPr>
        <w:t xml:space="preserve">, Profesional Subdirección Financiera y Contable </w:t>
      </w:r>
    </w:p>
    <w:p w14:paraId="3F16DAD2" w14:textId="45F683E8" w:rsidR="00B81DCF" w:rsidRPr="00C9576F" w:rsidRDefault="00C9576F" w:rsidP="00B81DCF">
      <w:pPr>
        <w:spacing w:after="0" w:line="240" w:lineRule="auto"/>
        <w:jc w:val="both"/>
        <w:rPr>
          <w:rFonts w:ascii="Times New Roman" w:hAnsi="Times New Roman"/>
          <w:szCs w:val="24"/>
        </w:rPr>
      </w:pPr>
      <w:r w:rsidRPr="00C9576F">
        <w:rPr>
          <w:noProof/>
          <w:sz w:val="20"/>
          <w:lang w:eastAsia="es-CO"/>
        </w:rPr>
        <w:drawing>
          <wp:anchor distT="0" distB="0" distL="114300" distR="114300" simplePos="0" relativeHeight="251753472" behindDoc="1" locked="0" layoutInCell="1" allowOverlap="1" wp14:anchorId="2B5D9F30" wp14:editId="2193030B">
            <wp:simplePos x="0" y="0"/>
            <wp:positionH relativeFrom="column">
              <wp:posOffset>4673600</wp:posOffset>
            </wp:positionH>
            <wp:positionV relativeFrom="paragraph">
              <wp:posOffset>121920</wp:posOffset>
            </wp:positionV>
            <wp:extent cx="1066800" cy="314325"/>
            <wp:effectExtent l="0" t="0" r="0" b="9525"/>
            <wp:wrapNone/>
            <wp:docPr id="32" name="Imagen 22"/>
            <wp:cNvGraphicFramePr/>
            <a:graphic xmlns:a="http://schemas.openxmlformats.org/drawingml/2006/main">
              <a:graphicData uri="http://schemas.openxmlformats.org/drawingml/2006/picture">
                <pic:pic xmlns:pic="http://schemas.openxmlformats.org/drawingml/2006/picture">
                  <pic:nvPicPr>
                    <pic:cNvPr id="23" name="Imagen 22"/>
                    <pic:cNvPicPr/>
                  </pic:nvPicPr>
                  <pic:blipFill rotWithShape="1">
                    <a:blip r:embed="rId79" cstate="print">
                      <a:extLst>
                        <a:ext uri="{28A0092B-C50C-407E-A947-70E740481C1C}">
                          <a14:useLocalDpi xmlns:a14="http://schemas.microsoft.com/office/drawing/2010/main" val="0"/>
                        </a:ext>
                      </a:extLst>
                    </a:blip>
                    <a:srcRect l="25699" t="47259" r="31397" b="19084"/>
                    <a:stretch/>
                  </pic:blipFill>
                  <pic:spPr>
                    <a:xfrm>
                      <a:off x="0" y="0"/>
                      <a:ext cx="1066800" cy="314325"/>
                    </a:xfrm>
                    <a:prstGeom prst="rect">
                      <a:avLst/>
                    </a:prstGeom>
                  </pic:spPr>
                </pic:pic>
              </a:graphicData>
            </a:graphic>
            <wp14:sizeRelH relativeFrom="page">
              <wp14:pctWidth>0</wp14:pctWidth>
            </wp14:sizeRelH>
            <wp14:sizeRelV relativeFrom="page">
              <wp14:pctHeight>0</wp14:pctHeight>
            </wp14:sizeRelV>
          </wp:anchor>
        </w:drawing>
      </w:r>
    </w:p>
    <w:p w14:paraId="40F796CD" w14:textId="6A753EDF" w:rsidR="00A74522" w:rsidRDefault="00B81DCF" w:rsidP="00B81DCF">
      <w:pPr>
        <w:spacing w:after="0" w:line="240" w:lineRule="auto"/>
        <w:jc w:val="both"/>
        <w:rPr>
          <w:rFonts w:ascii="Times New Roman" w:hAnsi="Times New Roman"/>
          <w:sz w:val="24"/>
          <w:szCs w:val="24"/>
        </w:rPr>
      </w:pPr>
      <w:r w:rsidRPr="00C9576F">
        <w:rPr>
          <w:rFonts w:ascii="Times New Roman" w:hAnsi="Times New Roman"/>
          <w:szCs w:val="24"/>
        </w:rPr>
        <w:t xml:space="preserve"> Elaboró:   Mario Pinzón Aroca, Contratista, Subdirección Financiera y Contable</w:t>
      </w:r>
      <w:r w:rsidRPr="00B81DCF">
        <w:rPr>
          <w:rFonts w:ascii="Times New Roman" w:hAnsi="Times New Roman"/>
          <w:sz w:val="24"/>
          <w:szCs w:val="24"/>
        </w:rPr>
        <w:t xml:space="preserve">                  </w:t>
      </w:r>
    </w:p>
    <w:p w14:paraId="4808B29B" w14:textId="77777777" w:rsidR="00B81DCF" w:rsidRPr="00A74522" w:rsidRDefault="00B81DCF" w:rsidP="00A74522">
      <w:pPr>
        <w:jc w:val="right"/>
        <w:rPr>
          <w:rFonts w:ascii="Times New Roman" w:hAnsi="Times New Roman"/>
          <w:sz w:val="24"/>
          <w:szCs w:val="24"/>
        </w:rPr>
      </w:pPr>
    </w:p>
    <w:sectPr w:rsidR="00B81DCF" w:rsidRPr="00A74522" w:rsidSect="005B32EF">
      <w:headerReference w:type="default" r:id="rId80"/>
      <w:footerReference w:type="default" r:id="rId81"/>
      <w:pgSz w:w="12240" w:h="15840"/>
      <w:pgMar w:top="1418" w:right="1418" w:bottom="1418"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0147" w14:textId="77777777" w:rsidR="002C36A2" w:rsidRDefault="002C36A2" w:rsidP="008F1462">
      <w:pPr>
        <w:spacing w:after="0" w:line="240" w:lineRule="auto"/>
      </w:pPr>
      <w:r>
        <w:separator/>
      </w:r>
    </w:p>
  </w:endnote>
  <w:endnote w:type="continuationSeparator" w:id="0">
    <w:p w14:paraId="78AD7D84" w14:textId="77777777" w:rsidR="002C36A2" w:rsidRDefault="002C36A2" w:rsidP="008F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CE4" w14:textId="10CFFC39" w:rsidR="00C10884" w:rsidRDefault="00C10884">
    <w:pPr>
      <w:pStyle w:val="Piedepgina"/>
    </w:pPr>
    <w:r>
      <w:rPr>
        <w:noProof/>
        <w:lang w:eastAsia="es-CO"/>
      </w:rPr>
      <w:drawing>
        <wp:anchor distT="0" distB="0" distL="114300" distR="114300" simplePos="0" relativeHeight="251661312" behindDoc="1" locked="0" layoutInCell="1" allowOverlap="1" wp14:anchorId="160BD965" wp14:editId="6481B6EA">
          <wp:simplePos x="0" y="0"/>
          <wp:positionH relativeFrom="column">
            <wp:posOffset>-1038225</wp:posOffset>
          </wp:positionH>
          <wp:positionV relativeFrom="paragraph">
            <wp:posOffset>-285750</wp:posOffset>
          </wp:positionV>
          <wp:extent cx="7667625" cy="85725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7625" cy="857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91AD" w14:textId="77777777" w:rsidR="002C36A2" w:rsidRDefault="002C36A2" w:rsidP="008F1462">
      <w:pPr>
        <w:spacing w:after="0" w:line="240" w:lineRule="auto"/>
      </w:pPr>
      <w:r>
        <w:separator/>
      </w:r>
    </w:p>
  </w:footnote>
  <w:footnote w:type="continuationSeparator" w:id="0">
    <w:p w14:paraId="33EDF68B" w14:textId="77777777" w:rsidR="002C36A2" w:rsidRDefault="002C36A2" w:rsidP="008F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950" w14:textId="4DAC6A21" w:rsidR="00C10884" w:rsidRPr="00332CFB" w:rsidRDefault="00C10884" w:rsidP="00B83028">
    <w:pPr>
      <w:tabs>
        <w:tab w:val="left" w:pos="9525"/>
      </w:tabs>
      <w:spacing w:after="0" w:line="240" w:lineRule="auto"/>
      <w:ind w:left="1980" w:right="570" w:hanging="2406"/>
      <w:jc w:val="both"/>
      <w:rPr>
        <w:rFonts w:ascii="Times New Roman" w:eastAsia="SimSun" w:hAnsi="Times New Roman"/>
        <w:b/>
        <w:sz w:val="18"/>
        <w:szCs w:val="18"/>
        <w:lang w:val="es-AR" w:eastAsia="zh-CN"/>
      </w:rPr>
    </w:pPr>
    <w:r>
      <w:rPr>
        <w:noProof/>
        <w:lang w:eastAsia="es-CO"/>
      </w:rPr>
      <w:drawing>
        <wp:anchor distT="0" distB="0" distL="114300" distR="114300" simplePos="0" relativeHeight="251659264" behindDoc="1" locked="0" layoutInCell="1" allowOverlap="1" wp14:anchorId="31FE75A4" wp14:editId="56CD6058">
          <wp:simplePos x="0" y="0"/>
          <wp:positionH relativeFrom="column">
            <wp:posOffset>4253865</wp:posOffset>
          </wp:positionH>
          <wp:positionV relativeFrom="paragraph">
            <wp:posOffset>-50165</wp:posOffset>
          </wp:positionV>
          <wp:extent cx="2143125" cy="476250"/>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3125" cy="476250"/>
                  </a:xfrm>
                  <a:prstGeom prst="rect">
                    <a:avLst/>
                  </a:prstGeom>
                </pic:spPr>
              </pic:pic>
            </a:graphicData>
          </a:graphic>
          <wp14:sizeRelV relativeFrom="margin">
            <wp14:pctHeight>0</wp14:pctHeight>
          </wp14:sizeRelV>
        </wp:anchor>
      </w:drawing>
    </w:r>
    <w:r w:rsidRPr="00332CFB">
      <w:rPr>
        <w:rFonts w:ascii="Times New Roman" w:eastAsia="SimSun" w:hAnsi="Times New Roman"/>
        <w:b/>
        <w:sz w:val="18"/>
        <w:szCs w:val="18"/>
        <w:lang w:val="es-AR" w:eastAsia="zh-CN"/>
      </w:rPr>
      <w:t>INSTITUTO COLOMBIANO PARA LA EVALUACION DE LA EDUCACION ICFES</w:t>
    </w:r>
  </w:p>
  <w:p w14:paraId="7CE93CA7" w14:textId="1E3D794C" w:rsidR="00C10884" w:rsidRPr="00332CFB" w:rsidRDefault="00C10884" w:rsidP="00B83028">
    <w:pPr>
      <w:tabs>
        <w:tab w:val="right" w:pos="8551"/>
      </w:tabs>
      <w:spacing w:after="0" w:line="240" w:lineRule="auto"/>
      <w:ind w:left="1980" w:right="570" w:hanging="2406"/>
      <w:jc w:val="both"/>
      <w:rPr>
        <w:rFonts w:ascii="Times New Roman" w:eastAsia="SimSun" w:hAnsi="Times New Roman"/>
        <w:b/>
        <w:sz w:val="18"/>
        <w:szCs w:val="18"/>
        <w:lang w:val="es-AR" w:eastAsia="zh-CN"/>
      </w:rPr>
    </w:pPr>
    <w:r w:rsidRPr="00332CFB">
      <w:rPr>
        <w:rFonts w:ascii="Times New Roman" w:eastAsia="SimSun" w:hAnsi="Times New Roman"/>
        <w:b/>
        <w:sz w:val="18"/>
        <w:szCs w:val="18"/>
        <w:lang w:val="es-AR" w:eastAsia="zh-CN"/>
      </w:rPr>
      <w:t>NOTAS A LOS ESTADOS FINANCIEROS</w:t>
    </w:r>
    <w:r>
      <w:rPr>
        <w:rFonts w:ascii="Times New Roman" w:eastAsia="SimSun" w:hAnsi="Times New Roman"/>
        <w:b/>
        <w:sz w:val="18"/>
        <w:szCs w:val="18"/>
        <w:lang w:val="es-AR" w:eastAsia="zh-CN"/>
      </w:rPr>
      <w:tab/>
    </w:r>
  </w:p>
  <w:p w14:paraId="1AC8D485" w14:textId="66A1B7ED" w:rsidR="00C10884" w:rsidRPr="00332CFB" w:rsidRDefault="00C10884" w:rsidP="00B83028">
    <w:pPr>
      <w:tabs>
        <w:tab w:val="left" w:pos="9525"/>
      </w:tabs>
      <w:spacing w:after="0" w:line="240" w:lineRule="auto"/>
      <w:ind w:left="1980" w:right="570" w:hanging="2406"/>
      <w:jc w:val="both"/>
      <w:rPr>
        <w:rFonts w:ascii="Times New Roman" w:eastAsia="SimSun" w:hAnsi="Times New Roman"/>
        <w:b/>
        <w:sz w:val="18"/>
        <w:szCs w:val="18"/>
        <w:lang w:val="es-AR" w:eastAsia="zh-CN"/>
      </w:rPr>
    </w:pPr>
    <w:r w:rsidRPr="00332CFB">
      <w:rPr>
        <w:rFonts w:ascii="Times New Roman" w:eastAsia="SimSun" w:hAnsi="Times New Roman"/>
        <w:b/>
        <w:sz w:val="18"/>
        <w:szCs w:val="18"/>
        <w:lang w:val="es-AR" w:eastAsia="zh-CN"/>
      </w:rPr>
      <w:t xml:space="preserve">POR LOS PERÍODOS FINALIZADOS EL </w:t>
    </w:r>
    <w:r w:rsidR="00A476C2">
      <w:rPr>
        <w:rFonts w:ascii="Times New Roman" w:eastAsia="SimSun" w:hAnsi="Times New Roman"/>
        <w:b/>
        <w:sz w:val="18"/>
        <w:szCs w:val="18"/>
        <w:lang w:val="es-AR" w:eastAsia="zh-CN"/>
      </w:rPr>
      <w:t>31</w:t>
    </w:r>
    <w:r w:rsidRPr="00332CFB">
      <w:rPr>
        <w:rFonts w:ascii="Times New Roman" w:eastAsia="SimSun" w:hAnsi="Times New Roman"/>
        <w:b/>
        <w:sz w:val="18"/>
        <w:szCs w:val="18"/>
        <w:lang w:val="es-AR" w:eastAsia="zh-CN"/>
      </w:rPr>
      <w:t xml:space="preserve"> DE</w:t>
    </w:r>
    <w:r w:rsidR="00CE7007">
      <w:rPr>
        <w:rFonts w:ascii="Times New Roman" w:eastAsia="SimSun" w:hAnsi="Times New Roman"/>
        <w:b/>
        <w:sz w:val="18"/>
        <w:szCs w:val="18"/>
        <w:lang w:val="es-AR" w:eastAsia="zh-CN"/>
      </w:rPr>
      <w:t xml:space="preserve"> </w:t>
    </w:r>
    <w:r w:rsidR="00A476C2">
      <w:rPr>
        <w:rFonts w:ascii="Times New Roman" w:eastAsia="SimSun" w:hAnsi="Times New Roman"/>
        <w:b/>
        <w:sz w:val="18"/>
        <w:szCs w:val="18"/>
        <w:lang w:val="es-AR" w:eastAsia="zh-CN"/>
      </w:rPr>
      <w:t>MARZO</w:t>
    </w:r>
    <w:r>
      <w:rPr>
        <w:rFonts w:ascii="Times New Roman" w:eastAsia="SimSun" w:hAnsi="Times New Roman"/>
        <w:b/>
        <w:sz w:val="18"/>
        <w:szCs w:val="18"/>
        <w:lang w:val="es-AR" w:eastAsia="zh-CN"/>
      </w:rPr>
      <w:t xml:space="preserve"> </w:t>
    </w:r>
    <w:r w:rsidRPr="00332CFB">
      <w:rPr>
        <w:rFonts w:ascii="Times New Roman" w:eastAsia="SimSun" w:hAnsi="Times New Roman"/>
        <w:b/>
        <w:sz w:val="18"/>
        <w:szCs w:val="18"/>
        <w:lang w:val="es-AR" w:eastAsia="zh-CN"/>
      </w:rPr>
      <w:t>202</w:t>
    </w:r>
    <w:r w:rsidR="005421BD">
      <w:rPr>
        <w:rFonts w:ascii="Times New Roman" w:eastAsia="SimSun" w:hAnsi="Times New Roman"/>
        <w:b/>
        <w:sz w:val="18"/>
        <w:szCs w:val="18"/>
        <w:lang w:val="es-AR" w:eastAsia="zh-CN"/>
      </w:rPr>
      <w:t>2</w:t>
    </w:r>
    <w:r w:rsidRPr="00332CFB">
      <w:rPr>
        <w:rFonts w:ascii="Times New Roman" w:eastAsia="SimSun" w:hAnsi="Times New Roman"/>
        <w:b/>
        <w:sz w:val="18"/>
        <w:szCs w:val="18"/>
        <w:lang w:val="es-AR" w:eastAsia="zh-CN"/>
      </w:rPr>
      <w:t xml:space="preserve"> Y 20</w:t>
    </w:r>
    <w:r>
      <w:rPr>
        <w:rFonts w:ascii="Times New Roman" w:eastAsia="SimSun" w:hAnsi="Times New Roman"/>
        <w:b/>
        <w:sz w:val="18"/>
        <w:szCs w:val="18"/>
        <w:lang w:val="es-AR" w:eastAsia="zh-CN"/>
      </w:rPr>
      <w:t>2</w:t>
    </w:r>
    <w:r w:rsidR="005421BD">
      <w:rPr>
        <w:rFonts w:ascii="Times New Roman" w:eastAsia="SimSun" w:hAnsi="Times New Roman"/>
        <w:b/>
        <w:sz w:val="18"/>
        <w:szCs w:val="18"/>
        <w:lang w:val="es-AR" w:eastAsia="zh-CN"/>
      </w:rPr>
      <w:t>1</w:t>
    </w:r>
  </w:p>
  <w:p w14:paraId="1D0A558C" w14:textId="258DC3EA" w:rsidR="00C10884" w:rsidRDefault="00C10884" w:rsidP="00B83028">
    <w:pPr>
      <w:pStyle w:val="Encabezado"/>
      <w:ind w:hanging="426"/>
    </w:pPr>
    <w:r w:rsidRPr="00332CFB">
      <w:rPr>
        <w:rFonts w:ascii="Times New Roman" w:eastAsia="Times New Roman" w:hAnsi="Times New Roman"/>
        <w:b/>
        <w:sz w:val="18"/>
        <w:szCs w:val="18"/>
        <w:lang w:val="es-AR" w:eastAsia="es-CO"/>
      </w:rPr>
      <w:t>(Valores expresados en pesos colombianos)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057212"/>
    <w:multiLevelType w:val="hybridMultilevel"/>
    <w:tmpl w:val="A0BE2630"/>
    <w:lvl w:ilvl="0" w:tplc="74544D5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06211"/>
    <w:multiLevelType w:val="hybridMultilevel"/>
    <w:tmpl w:val="EDE4ED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1F6EB7"/>
    <w:multiLevelType w:val="hybridMultilevel"/>
    <w:tmpl w:val="49DE3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D64EBF"/>
    <w:multiLevelType w:val="hybridMultilevel"/>
    <w:tmpl w:val="484CD7C6"/>
    <w:lvl w:ilvl="0" w:tplc="04090001">
      <w:start w:val="1"/>
      <w:numFmt w:val="bullet"/>
      <w:lvlText w:val=""/>
      <w:lvlJc w:val="left"/>
      <w:pPr>
        <w:ind w:left="1287" w:hanging="360"/>
      </w:pPr>
      <w:rPr>
        <w:rFonts w:ascii="Symbol" w:hAnsi="Symbol" w:hint="default"/>
      </w:rPr>
    </w:lvl>
    <w:lvl w:ilvl="1" w:tplc="27E002FE">
      <w:numFmt w:val="bullet"/>
      <w:lvlText w:val="•"/>
      <w:lvlJc w:val="left"/>
      <w:pPr>
        <w:ind w:left="2007" w:hanging="360"/>
      </w:pPr>
      <w:rPr>
        <w:rFonts w:ascii="Arial" w:eastAsiaTheme="minorEastAsia" w:hAnsi="Arial" w:cs="Arial"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C104A6"/>
    <w:multiLevelType w:val="hybridMultilevel"/>
    <w:tmpl w:val="CFB87F7A"/>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BE6DF7"/>
    <w:multiLevelType w:val="hybridMultilevel"/>
    <w:tmpl w:val="0BE0EDDC"/>
    <w:lvl w:ilvl="0" w:tplc="53B848BE">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AB742F"/>
    <w:multiLevelType w:val="hybridMultilevel"/>
    <w:tmpl w:val="B462985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8"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1"/>
  </w:num>
  <w:num w:numId="4">
    <w:abstractNumId w:val="11"/>
  </w:num>
  <w:num w:numId="5">
    <w:abstractNumId w:val="4"/>
  </w:num>
  <w:num w:numId="6">
    <w:abstractNumId w:val="0"/>
  </w:num>
  <w:num w:numId="7">
    <w:abstractNumId w:val="17"/>
  </w:num>
  <w:num w:numId="8">
    <w:abstractNumId w:val="13"/>
  </w:num>
  <w:num w:numId="9">
    <w:abstractNumId w:val="22"/>
  </w:num>
  <w:num w:numId="10">
    <w:abstractNumId w:val="7"/>
  </w:num>
  <w:num w:numId="11">
    <w:abstractNumId w:val="23"/>
  </w:num>
  <w:num w:numId="12">
    <w:abstractNumId w:val="24"/>
  </w:num>
  <w:num w:numId="13">
    <w:abstractNumId w:val="3"/>
  </w:num>
  <w:num w:numId="14">
    <w:abstractNumId w:val="20"/>
  </w:num>
  <w:num w:numId="15">
    <w:abstractNumId w:val="6"/>
  </w:num>
  <w:num w:numId="16">
    <w:abstractNumId w:val="25"/>
  </w:num>
  <w:num w:numId="17">
    <w:abstractNumId w:val="18"/>
  </w:num>
  <w:num w:numId="18">
    <w:abstractNumId w:val="19"/>
  </w:num>
  <w:num w:numId="19">
    <w:abstractNumId w:val="26"/>
  </w:num>
  <w:num w:numId="20">
    <w:abstractNumId w:val="8"/>
  </w:num>
  <w:num w:numId="21">
    <w:abstractNumId w:val="28"/>
  </w:num>
  <w:num w:numId="22">
    <w:abstractNumId w:val="15"/>
  </w:num>
  <w:num w:numId="23">
    <w:abstractNumId w:val="14"/>
  </w:num>
  <w:num w:numId="24">
    <w:abstractNumId w:val="10"/>
  </w:num>
  <w:num w:numId="25">
    <w:abstractNumId w:val="9"/>
  </w:num>
  <w:num w:numId="26">
    <w:abstractNumId w:val="27"/>
  </w:num>
  <w:num w:numId="27">
    <w:abstractNumId w:val="12"/>
  </w:num>
  <w:num w:numId="28">
    <w:abstractNumId w:val="21"/>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F9"/>
    <w:rsid w:val="0000003C"/>
    <w:rsid w:val="000007B5"/>
    <w:rsid w:val="00000A20"/>
    <w:rsid w:val="000010A3"/>
    <w:rsid w:val="00001BC4"/>
    <w:rsid w:val="00001EEE"/>
    <w:rsid w:val="000042B8"/>
    <w:rsid w:val="0000431C"/>
    <w:rsid w:val="00005677"/>
    <w:rsid w:val="00005687"/>
    <w:rsid w:val="00006852"/>
    <w:rsid w:val="00010B54"/>
    <w:rsid w:val="00010CC2"/>
    <w:rsid w:val="00010D7F"/>
    <w:rsid w:val="0001112F"/>
    <w:rsid w:val="00011135"/>
    <w:rsid w:val="0001153B"/>
    <w:rsid w:val="00011F6A"/>
    <w:rsid w:val="00012571"/>
    <w:rsid w:val="00012918"/>
    <w:rsid w:val="00013892"/>
    <w:rsid w:val="00014084"/>
    <w:rsid w:val="00014867"/>
    <w:rsid w:val="00014F7B"/>
    <w:rsid w:val="0001572B"/>
    <w:rsid w:val="000162DC"/>
    <w:rsid w:val="00016342"/>
    <w:rsid w:val="00016C3B"/>
    <w:rsid w:val="00016FB7"/>
    <w:rsid w:val="00017D57"/>
    <w:rsid w:val="000208EA"/>
    <w:rsid w:val="00020DEA"/>
    <w:rsid w:val="000216D8"/>
    <w:rsid w:val="000227AA"/>
    <w:rsid w:val="0002334D"/>
    <w:rsid w:val="00023981"/>
    <w:rsid w:val="00023B7A"/>
    <w:rsid w:val="00024107"/>
    <w:rsid w:val="000247DC"/>
    <w:rsid w:val="000252A4"/>
    <w:rsid w:val="00025D34"/>
    <w:rsid w:val="00026360"/>
    <w:rsid w:val="00026803"/>
    <w:rsid w:val="00026926"/>
    <w:rsid w:val="000300A8"/>
    <w:rsid w:val="000302A3"/>
    <w:rsid w:val="00032359"/>
    <w:rsid w:val="000324F8"/>
    <w:rsid w:val="00032D32"/>
    <w:rsid w:val="0003358F"/>
    <w:rsid w:val="00033CC5"/>
    <w:rsid w:val="00034E23"/>
    <w:rsid w:val="00035A2F"/>
    <w:rsid w:val="00035F9D"/>
    <w:rsid w:val="00036128"/>
    <w:rsid w:val="000361DB"/>
    <w:rsid w:val="00036236"/>
    <w:rsid w:val="00036477"/>
    <w:rsid w:val="00036BDE"/>
    <w:rsid w:val="00037023"/>
    <w:rsid w:val="000379D9"/>
    <w:rsid w:val="00040407"/>
    <w:rsid w:val="00040A87"/>
    <w:rsid w:val="00040D02"/>
    <w:rsid w:val="0004129D"/>
    <w:rsid w:val="00041F90"/>
    <w:rsid w:val="0004208D"/>
    <w:rsid w:val="000421AD"/>
    <w:rsid w:val="00043447"/>
    <w:rsid w:val="00043721"/>
    <w:rsid w:val="00043AA6"/>
    <w:rsid w:val="00043B6F"/>
    <w:rsid w:val="0004405A"/>
    <w:rsid w:val="000449EE"/>
    <w:rsid w:val="00044A2C"/>
    <w:rsid w:val="00044B74"/>
    <w:rsid w:val="00045BD5"/>
    <w:rsid w:val="00045D78"/>
    <w:rsid w:val="000465C6"/>
    <w:rsid w:val="000466AC"/>
    <w:rsid w:val="000467CB"/>
    <w:rsid w:val="00046F5C"/>
    <w:rsid w:val="00050729"/>
    <w:rsid w:val="00050748"/>
    <w:rsid w:val="0005075C"/>
    <w:rsid w:val="00050BB1"/>
    <w:rsid w:val="00051821"/>
    <w:rsid w:val="000518D5"/>
    <w:rsid w:val="00051FF0"/>
    <w:rsid w:val="000520CD"/>
    <w:rsid w:val="00052CCF"/>
    <w:rsid w:val="00053070"/>
    <w:rsid w:val="000542BD"/>
    <w:rsid w:val="00054A1F"/>
    <w:rsid w:val="00054E55"/>
    <w:rsid w:val="0005551B"/>
    <w:rsid w:val="0005571F"/>
    <w:rsid w:val="000558FC"/>
    <w:rsid w:val="00056119"/>
    <w:rsid w:val="0005630E"/>
    <w:rsid w:val="0005748C"/>
    <w:rsid w:val="00057B12"/>
    <w:rsid w:val="00057F60"/>
    <w:rsid w:val="00060521"/>
    <w:rsid w:val="0006097E"/>
    <w:rsid w:val="00060DD8"/>
    <w:rsid w:val="00061225"/>
    <w:rsid w:val="000615C9"/>
    <w:rsid w:val="00061AC2"/>
    <w:rsid w:val="00062D2C"/>
    <w:rsid w:val="00063415"/>
    <w:rsid w:val="000640AC"/>
    <w:rsid w:val="00065178"/>
    <w:rsid w:val="0006580C"/>
    <w:rsid w:val="00065CB9"/>
    <w:rsid w:val="0006705B"/>
    <w:rsid w:val="000671C9"/>
    <w:rsid w:val="000704CF"/>
    <w:rsid w:val="00070D94"/>
    <w:rsid w:val="00071271"/>
    <w:rsid w:val="00071701"/>
    <w:rsid w:val="00072839"/>
    <w:rsid w:val="00072C7F"/>
    <w:rsid w:val="00072E59"/>
    <w:rsid w:val="00073315"/>
    <w:rsid w:val="00073C26"/>
    <w:rsid w:val="00074743"/>
    <w:rsid w:val="00074D23"/>
    <w:rsid w:val="00075254"/>
    <w:rsid w:val="00075E9D"/>
    <w:rsid w:val="00077300"/>
    <w:rsid w:val="00077955"/>
    <w:rsid w:val="00077EAB"/>
    <w:rsid w:val="000800C0"/>
    <w:rsid w:val="000835BB"/>
    <w:rsid w:val="00084669"/>
    <w:rsid w:val="00085075"/>
    <w:rsid w:val="0008666E"/>
    <w:rsid w:val="00086A1C"/>
    <w:rsid w:val="0008714E"/>
    <w:rsid w:val="00087F87"/>
    <w:rsid w:val="0009073F"/>
    <w:rsid w:val="00091143"/>
    <w:rsid w:val="00091A03"/>
    <w:rsid w:val="00091C85"/>
    <w:rsid w:val="00093A3F"/>
    <w:rsid w:val="00093EAE"/>
    <w:rsid w:val="00094B9C"/>
    <w:rsid w:val="00094C99"/>
    <w:rsid w:val="00095664"/>
    <w:rsid w:val="0009646A"/>
    <w:rsid w:val="000968E5"/>
    <w:rsid w:val="00097BC1"/>
    <w:rsid w:val="00097C02"/>
    <w:rsid w:val="000A01E3"/>
    <w:rsid w:val="000A06CB"/>
    <w:rsid w:val="000A127E"/>
    <w:rsid w:val="000A24FA"/>
    <w:rsid w:val="000A28E4"/>
    <w:rsid w:val="000A42BE"/>
    <w:rsid w:val="000A569F"/>
    <w:rsid w:val="000A63E7"/>
    <w:rsid w:val="000A63EB"/>
    <w:rsid w:val="000A6558"/>
    <w:rsid w:val="000A6F7C"/>
    <w:rsid w:val="000A79D8"/>
    <w:rsid w:val="000A7E54"/>
    <w:rsid w:val="000B03BE"/>
    <w:rsid w:val="000B04CD"/>
    <w:rsid w:val="000B0BDF"/>
    <w:rsid w:val="000B1193"/>
    <w:rsid w:val="000B1C44"/>
    <w:rsid w:val="000B2FBE"/>
    <w:rsid w:val="000B301B"/>
    <w:rsid w:val="000B3B41"/>
    <w:rsid w:val="000B4FBE"/>
    <w:rsid w:val="000B50A8"/>
    <w:rsid w:val="000B5615"/>
    <w:rsid w:val="000B57E0"/>
    <w:rsid w:val="000B5E10"/>
    <w:rsid w:val="000B691F"/>
    <w:rsid w:val="000C07AF"/>
    <w:rsid w:val="000C0B28"/>
    <w:rsid w:val="000C20E0"/>
    <w:rsid w:val="000C214E"/>
    <w:rsid w:val="000C353E"/>
    <w:rsid w:val="000C3797"/>
    <w:rsid w:val="000C42DD"/>
    <w:rsid w:val="000C56E2"/>
    <w:rsid w:val="000C5CE4"/>
    <w:rsid w:val="000C6AEC"/>
    <w:rsid w:val="000C6F1E"/>
    <w:rsid w:val="000C7271"/>
    <w:rsid w:val="000D0AF0"/>
    <w:rsid w:val="000D0C8B"/>
    <w:rsid w:val="000D32BF"/>
    <w:rsid w:val="000D3329"/>
    <w:rsid w:val="000D3626"/>
    <w:rsid w:val="000D3FF0"/>
    <w:rsid w:val="000D4B8E"/>
    <w:rsid w:val="000D4BFA"/>
    <w:rsid w:val="000D5487"/>
    <w:rsid w:val="000D56BA"/>
    <w:rsid w:val="000D5B05"/>
    <w:rsid w:val="000D63C3"/>
    <w:rsid w:val="000D642F"/>
    <w:rsid w:val="000D6BE5"/>
    <w:rsid w:val="000D7778"/>
    <w:rsid w:val="000E0FE8"/>
    <w:rsid w:val="000E1011"/>
    <w:rsid w:val="000E1A2A"/>
    <w:rsid w:val="000E494F"/>
    <w:rsid w:val="000E5DA9"/>
    <w:rsid w:val="000E7F1F"/>
    <w:rsid w:val="000F1784"/>
    <w:rsid w:val="000F2B9A"/>
    <w:rsid w:val="000F375C"/>
    <w:rsid w:val="000F387B"/>
    <w:rsid w:val="000F3AB0"/>
    <w:rsid w:val="000F40B7"/>
    <w:rsid w:val="000F4656"/>
    <w:rsid w:val="000F4BF4"/>
    <w:rsid w:val="000F5276"/>
    <w:rsid w:val="000F5B2B"/>
    <w:rsid w:val="000F60B1"/>
    <w:rsid w:val="000F73BA"/>
    <w:rsid w:val="000F7AF4"/>
    <w:rsid w:val="000F7C63"/>
    <w:rsid w:val="000F7F49"/>
    <w:rsid w:val="00101487"/>
    <w:rsid w:val="001020E1"/>
    <w:rsid w:val="0010264E"/>
    <w:rsid w:val="00103339"/>
    <w:rsid w:val="0010340E"/>
    <w:rsid w:val="00103B2B"/>
    <w:rsid w:val="00103F69"/>
    <w:rsid w:val="00106768"/>
    <w:rsid w:val="00110153"/>
    <w:rsid w:val="00110CCD"/>
    <w:rsid w:val="0011120A"/>
    <w:rsid w:val="0011141F"/>
    <w:rsid w:val="00111580"/>
    <w:rsid w:val="00111874"/>
    <w:rsid w:val="00111E78"/>
    <w:rsid w:val="001127BF"/>
    <w:rsid w:val="00112A13"/>
    <w:rsid w:val="00113DFD"/>
    <w:rsid w:val="00114F87"/>
    <w:rsid w:val="00115450"/>
    <w:rsid w:val="00115457"/>
    <w:rsid w:val="00115801"/>
    <w:rsid w:val="00115935"/>
    <w:rsid w:val="00115E79"/>
    <w:rsid w:val="00115EBF"/>
    <w:rsid w:val="00116BD7"/>
    <w:rsid w:val="00117F49"/>
    <w:rsid w:val="0012020C"/>
    <w:rsid w:val="00120622"/>
    <w:rsid w:val="00120BDF"/>
    <w:rsid w:val="0012200A"/>
    <w:rsid w:val="00122372"/>
    <w:rsid w:val="00122A05"/>
    <w:rsid w:val="001233E3"/>
    <w:rsid w:val="001240C7"/>
    <w:rsid w:val="00124B78"/>
    <w:rsid w:val="001270E7"/>
    <w:rsid w:val="00127444"/>
    <w:rsid w:val="00127E08"/>
    <w:rsid w:val="00127FD9"/>
    <w:rsid w:val="001310FD"/>
    <w:rsid w:val="001315CF"/>
    <w:rsid w:val="001324CD"/>
    <w:rsid w:val="001337CF"/>
    <w:rsid w:val="00133F37"/>
    <w:rsid w:val="00135395"/>
    <w:rsid w:val="00135F2B"/>
    <w:rsid w:val="001369ED"/>
    <w:rsid w:val="0013772F"/>
    <w:rsid w:val="00141350"/>
    <w:rsid w:val="001425BC"/>
    <w:rsid w:val="00143CA2"/>
    <w:rsid w:val="001456E8"/>
    <w:rsid w:val="001459B1"/>
    <w:rsid w:val="00146FB4"/>
    <w:rsid w:val="001479A0"/>
    <w:rsid w:val="001500BD"/>
    <w:rsid w:val="001507E8"/>
    <w:rsid w:val="00150E1F"/>
    <w:rsid w:val="001510EB"/>
    <w:rsid w:val="0015178C"/>
    <w:rsid w:val="00153F71"/>
    <w:rsid w:val="00154A76"/>
    <w:rsid w:val="00155FE2"/>
    <w:rsid w:val="00156141"/>
    <w:rsid w:val="001561E6"/>
    <w:rsid w:val="0015632C"/>
    <w:rsid w:val="00156D5E"/>
    <w:rsid w:val="001575B3"/>
    <w:rsid w:val="00157B6A"/>
    <w:rsid w:val="0016054F"/>
    <w:rsid w:val="001612CC"/>
    <w:rsid w:val="00162B42"/>
    <w:rsid w:val="00164268"/>
    <w:rsid w:val="00164867"/>
    <w:rsid w:val="00165AFA"/>
    <w:rsid w:val="00166F0E"/>
    <w:rsid w:val="001670E7"/>
    <w:rsid w:val="00167F86"/>
    <w:rsid w:val="001700D6"/>
    <w:rsid w:val="00171AF6"/>
    <w:rsid w:val="00172CD2"/>
    <w:rsid w:val="00173135"/>
    <w:rsid w:val="00173493"/>
    <w:rsid w:val="00173667"/>
    <w:rsid w:val="00173D29"/>
    <w:rsid w:val="00174EC0"/>
    <w:rsid w:val="00175097"/>
    <w:rsid w:val="0017533A"/>
    <w:rsid w:val="001758F6"/>
    <w:rsid w:val="001764ED"/>
    <w:rsid w:val="0017659D"/>
    <w:rsid w:val="00177348"/>
    <w:rsid w:val="00181184"/>
    <w:rsid w:val="001814F1"/>
    <w:rsid w:val="001818D3"/>
    <w:rsid w:val="00182C13"/>
    <w:rsid w:val="001833FB"/>
    <w:rsid w:val="00183A9C"/>
    <w:rsid w:val="00183ADF"/>
    <w:rsid w:val="0018610E"/>
    <w:rsid w:val="00187C9F"/>
    <w:rsid w:val="00190FDD"/>
    <w:rsid w:val="0019140F"/>
    <w:rsid w:val="00191952"/>
    <w:rsid w:val="0019282B"/>
    <w:rsid w:val="0019372C"/>
    <w:rsid w:val="00193BD6"/>
    <w:rsid w:val="00194480"/>
    <w:rsid w:val="0019476F"/>
    <w:rsid w:val="00195323"/>
    <w:rsid w:val="001975BE"/>
    <w:rsid w:val="00197867"/>
    <w:rsid w:val="00197AAB"/>
    <w:rsid w:val="00197F7B"/>
    <w:rsid w:val="001A1752"/>
    <w:rsid w:val="001A1951"/>
    <w:rsid w:val="001A1A9B"/>
    <w:rsid w:val="001A2353"/>
    <w:rsid w:val="001A266D"/>
    <w:rsid w:val="001A26D9"/>
    <w:rsid w:val="001A37B8"/>
    <w:rsid w:val="001A3AD8"/>
    <w:rsid w:val="001A51F7"/>
    <w:rsid w:val="001A64E6"/>
    <w:rsid w:val="001A6B86"/>
    <w:rsid w:val="001A7044"/>
    <w:rsid w:val="001B052F"/>
    <w:rsid w:val="001B08E0"/>
    <w:rsid w:val="001B23B3"/>
    <w:rsid w:val="001B309B"/>
    <w:rsid w:val="001B4603"/>
    <w:rsid w:val="001B4AAD"/>
    <w:rsid w:val="001B59DD"/>
    <w:rsid w:val="001B5BE0"/>
    <w:rsid w:val="001B5C20"/>
    <w:rsid w:val="001B65E9"/>
    <w:rsid w:val="001B7107"/>
    <w:rsid w:val="001B7121"/>
    <w:rsid w:val="001C054F"/>
    <w:rsid w:val="001C1069"/>
    <w:rsid w:val="001C2468"/>
    <w:rsid w:val="001C3F9F"/>
    <w:rsid w:val="001C481D"/>
    <w:rsid w:val="001C4978"/>
    <w:rsid w:val="001C4FE0"/>
    <w:rsid w:val="001C560C"/>
    <w:rsid w:val="001C731F"/>
    <w:rsid w:val="001C751E"/>
    <w:rsid w:val="001C786C"/>
    <w:rsid w:val="001C7EEC"/>
    <w:rsid w:val="001D0144"/>
    <w:rsid w:val="001D1046"/>
    <w:rsid w:val="001D1588"/>
    <w:rsid w:val="001D1875"/>
    <w:rsid w:val="001D2275"/>
    <w:rsid w:val="001D22BF"/>
    <w:rsid w:val="001D3253"/>
    <w:rsid w:val="001D34AB"/>
    <w:rsid w:val="001D3F86"/>
    <w:rsid w:val="001D447F"/>
    <w:rsid w:val="001D450F"/>
    <w:rsid w:val="001D4C6E"/>
    <w:rsid w:val="001D50F6"/>
    <w:rsid w:val="001D6724"/>
    <w:rsid w:val="001D6C53"/>
    <w:rsid w:val="001E2099"/>
    <w:rsid w:val="001E2598"/>
    <w:rsid w:val="001E3023"/>
    <w:rsid w:val="001E31A0"/>
    <w:rsid w:val="001E379E"/>
    <w:rsid w:val="001E407A"/>
    <w:rsid w:val="001E4D19"/>
    <w:rsid w:val="001E51C7"/>
    <w:rsid w:val="001E55F5"/>
    <w:rsid w:val="001E5839"/>
    <w:rsid w:val="001E5E8D"/>
    <w:rsid w:val="001E6220"/>
    <w:rsid w:val="001E6793"/>
    <w:rsid w:val="001E6FE5"/>
    <w:rsid w:val="001E7042"/>
    <w:rsid w:val="001E7BE0"/>
    <w:rsid w:val="001E7E94"/>
    <w:rsid w:val="001F00E0"/>
    <w:rsid w:val="001F03E9"/>
    <w:rsid w:val="001F0D65"/>
    <w:rsid w:val="001F126B"/>
    <w:rsid w:val="001F14AA"/>
    <w:rsid w:val="001F2142"/>
    <w:rsid w:val="001F2265"/>
    <w:rsid w:val="001F40EA"/>
    <w:rsid w:val="001F42E3"/>
    <w:rsid w:val="001F493A"/>
    <w:rsid w:val="001F4B2F"/>
    <w:rsid w:val="001F541A"/>
    <w:rsid w:val="001F5972"/>
    <w:rsid w:val="00200790"/>
    <w:rsid w:val="00201461"/>
    <w:rsid w:val="0020209F"/>
    <w:rsid w:val="00202E7A"/>
    <w:rsid w:val="00203759"/>
    <w:rsid w:val="00204051"/>
    <w:rsid w:val="00204E53"/>
    <w:rsid w:val="00205021"/>
    <w:rsid w:val="00206425"/>
    <w:rsid w:val="00206B30"/>
    <w:rsid w:val="00206E2B"/>
    <w:rsid w:val="0021047D"/>
    <w:rsid w:val="00210FC5"/>
    <w:rsid w:val="0021148A"/>
    <w:rsid w:val="002137D3"/>
    <w:rsid w:val="0021514B"/>
    <w:rsid w:val="002151F0"/>
    <w:rsid w:val="002157C0"/>
    <w:rsid w:val="002207A1"/>
    <w:rsid w:val="00221A64"/>
    <w:rsid w:val="00221AEE"/>
    <w:rsid w:val="00222DF6"/>
    <w:rsid w:val="00223695"/>
    <w:rsid w:val="00223C7E"/>
    <w:rsid w:val="002245D3"/>
    <w:rsid w:val="00225314"/>
    <w:rsid w:val="00226286"/>
    <w:rsid w:val="0022669F"/>
    <w:rsid w:val="00227C29"/>
    <w:rsid w:val="00230305"/>
    <w:rsid w:val="00230ACC"/>
    <w:rsid w:val="00230AE5"/>
    <w:rsid w:val="00231BE0"/>
    <w:rsid w:val="00232078"/>
    <w:rsid w:val="002333C8"/>
    <w:rsid w:val="0023362A"/>
    <w:rsid w:val="00235535"/>
    <w:rsid w:val="00235E8C"/>
    <w:rsid w:val="00236036"/>
    <w:rsid w:val="00236A23"/>
    <w:rsid w:val="00241844"/>
    <w:rsid w:val="00242B90"/>
    <w:rsid w:val="00242FF0"/>
    <w:rsid w:val="00243847"/>
    <w:rsid w:val="00243901"/>
    <w:rsid w:val="00244708"/>
    <w:rsid w:val="00244712"/>
    <w:rsid w:val="00244AF0"/>
    <w:rsid w:val="00244E7B"/>
    <w:rsid w:val="00245026"/>
    <w:rsid w:val="002452D8"/>
    <w:rsid w:val="00245798"/>
    <w:rsid w:val="002461E1"/>
    <w:rsid w:val="00247133"/>
    <w:rsid w:val="00247219"/>
    <w:rsid w:val="00247B4C"/>
    <w:rsid w:val="002509BC"/>
    <w:rsid w:val="00250D9F"/>
    <w:rsid w:val="0025112B"/>
    <w:rsid w:val="0025116D"/>
    <w:rsid w:val="00251755"/>
    <w:rsid w:val="00251EF7"/>
    <w:rsid w:val="00252268"/>
    <w:rsid w:val="00252C43"/>
    <w:rsid w:val="00252D21"/>
    <w:rsid w:val="002534F0"/>
    <w:rsid w:val="002538C0"/>
    <w:rsid w:val="0025399C"/>
    <w:rsid w:val="0025566B"/>
    <w:rsid w:val="00255D80"/>
    <w:rsid w:val="002578B5"/>
    <w:rsid w:val="00257CA7"/>
    <w:rsid w:val="002610E0"/>
    <w:rsid w:val="00261271"/>
    <w:rsid w:val="0026244A"/>
    <w:rsid w:val="00262FB4"/>
    <w:rsid w:val="00263023"/>
    <w:rsid w:val="00263DAA"/>
    <w:rsid w:val="00265364"/>
    <w:rsid w:val="002657EE"/>
    <w:rsid w:val="0026722B"/>
    <w:rsid w:val="002679A1"/>
    <w:rsid w:val="00270562"/>
    <w:rsid w:val="0027151C"/>
    <w:rsid w:val="00271F15"/>
    <w:rsid w:val="00272060"/>
    <w:rsid w:val="002720C6"/>
    <w:rsid w:val="002722C6"/>
    <w:rsid w:val="00274BB7"/>
    <w:rsid w:val="00275A50"/>
    <w:rsid w:val="00275EC3"/>
    <w:rsid w:val="00276055"/>
    <w:rsid w:val="00276EAF"/>
    <w:rsid w:val="0028006C"/>
    <w:rsid w:val="00281078"/>
    <w:rsid w:val="00281997"/>
    <w:rsid w:val="002819B5"/>
    <w:rsid w:val="00281C00"/>
    <w:rsid w:val="002825F9"/>
    <w:rsid w:val="002827D1"/>
    <w:rsid w:val="002834E6"/>
    <w:rsid w:val="002839B9"/>
    <w:rsid w:val="002843E4"/>
    <w:rsid w:val="00284581"/>
    <w:rsid w:val="00284DD8"/>
    <w:rsid w:val="0028554C"/>
    <w:rsid w:val="00286317"/>
    <w:rsid w:val="002877DB"/>
    <w:rsid w:val="002878F3"/>
    <w:rsid w:val="00287990"/>
    <w:rsid w:val="00291832"/>
    <w:rsid w:val="00291904"/>
    <w:rsid w:val="00291ABE"/>
    <w:rsid w:val="002923E5"/>
    <w:rsid w:val="0029379D"/>
    <w:rsid w:val="002947FD"/>
    <w:rsid w:val="00294907"/>
    <w:rsid w:val="00295204"/>
    <w:rsid w:val="00295435"/>
    <w:rsid w:val="00295695"/>
    <w:rsid w:val="002959E5"/>
    <w:rsid w:val="00296144"/>
    <w:rsid w:val="00296445"/>
    <w:rsid w:val="00297719"/>
    <w:rsid w:val="002978A3"/>
    <w:rsid w:val="00297B5B"/>
    <w:rsid w:val="002A00EF"/>
    <w:rsid w:val="002A02E2"/>
    <w:rsid w:val="002A071C"/>
    <w:rsid w:val="002A07EF"/>
    <w:rsid w:val="002A0B54"/>
    <w:rsid w:val="002A1000"/>
    <w:rsid w:val="002A286D"/>
    <w:rsid w:val="002A2B17"/>
    <w:rsid w:val="002A2D1F"/>
    <w:rsid w:val="002A4757"/>
    <w:rsid w:val="002A53E3"/>
    <w:rsid w:val="002A540B"/>
    <w:rsid w:val="002A5B02"/>
    <w:rsid w:val="002A6B5E"/>
    <w:rsid w:val="002A6D2C"/>
    <w:rsid w:val="002A7ABC"/>
    <w:rsid w:val="002A7B45"/>
    <w:rsid w:val="002A7BF9"/>
    <w:rsid w:val="002A7C08"/>
    <w:rsid w:val="002A7EAE"/>
    <w:rsid w:val="002B0141"/>
    <w:rsid w:val="002B0E75"/>
    <w:rsid w:val="002B14BC"/>
    <w:rsid w:val="002B1A38"/>
    <w:rsid w:val="002B2385"/>
    <w:rsid w:val="002B26AE"/>
    <w:rsid w:val="002B307A"/>
    <w:rsid w:val="002B3AF8"/>
    <w:rsid w:val="002B3B02"/>
    <w:rsid w:val="002B3B0E"/>
    <w:rsid w:val="002B3EBE"/>
    <w:rsid w:val="002B418A"/>
    <w:rsid w:val="002B43E3"/>
    <w:rsid w:val="002B4EEC"/>
    <w:rsid w:val="002B571E"/>
    <w:rsid w:val="002B5782"/>
    <w:rsid w:val="002B627D"/>
    <w:rsid w:val="002B6402"/>
    <w:rsid w:val="002B6B85"/>
    <w:rsid w:val="002B6C35"/>
    <w:rsid w:val="002B7355"/>
    <w:rsid w:val="002B7905"/>
    <w:rsid w:val="002B7C51"/>
    <w:rsid w:val="002B7F3E"/>
    <w:rsid w:val="002C0F28"/>
    <w:rsid w:val="002C10AA"/>
    <w:rsid w:val="002C1471"/>
    <w:rsid w:val="002C28EE"/>
    <w:rsid w:val="002C2EB7"/>
    <w:rsid w:val="002C36A2"/>
    <w:rsid w:val="002C4867"/>
    <w:rsid w:val="002C4DFC"/>
    <w:rsid w:val="002C5A0B"/>
    <w:rsid w:val="002C5F35"/>
    <w:rsid w:val="002C6752"/>
    <w:rsid w:val="002C6C09"/>
    <w:rsid w:val="002C7097"/>
    <w:rsid w:val="002D04C9"/>
    <w:rsid w:val="002D0599"/>
    <w:rsid w:val="002D07E9"/>
    <w:rsid w:val="002D0D14"/>
    <w:rsid w:val="002D1E1E"/>
    <w:rsid w:val="002D2E7C"/>
    <w:rsid w:val="002D3657"/>
    <w:rsid w:val="002D3CCD"/>
    <w:rsid w:val="002D459C"/>
    <w:rsid w:val="002D49E7"/>
    <w:rsid w:val="002D4A74"/>
    <w:rsid w:val="002D4C04"/>
    <w:rsid w:val="002D6177"/>
    <w:rsid w:val="002D6380"/>
    <w:rsid w:val="002D791E"/>
    <w:rsid w:val="002E0015"/>
    <w:rsid w:val="002E0744"/>
    <w:rsid w:val="002E0C1C"/>
    <w:rsid w:val="002E18FA"/>
    <w:rsid w:val="002E230B"/>
    <w:rsid w:val="002E307F"/>
    <w:rsid w:val="002E3217"/>
    <w:rsid w:val="002E3675"/>
    <w:rsid w:val="002E39EC"/>
    <w:rsid w:val="002E3E5E"/>
    <w:rsid w:val="002E3F3D"/>
    <w:rsid w:val="002E400A"/>
    <w:rsid w:val="002E4A8C"/>
    <w:rsid w:val="002E4E70"/>
    <w:rsid w:val="002E540A"/>
    <w:rsid w:val="002E62CF"/>
    <w:rsid w:val="002E6ADA"/>
    <w:rsid w:val="002E6F1E"/>
    <w:rsid w:val="002E7751"/>
    <w:rsid w:val="002E7DCD"/>
    <w:rsid w:val="002F04C2"/>
    <w:rsid w:val="002F1D12"/>
    <w:rsid w:val="002F2851"/>
    <w:rsid w:val="002F2D14"/>
    <w:rsid w:val="002F2D95"/>
    <w:rsid w:val="002F40C5"/>
    <w:rsid w:val="002F414F"/>
    <w:rsid w:val="002F470F"/>
    <w:rsid w:val="002F47EC"/>
    <w:rsid w:val="002F617E"/>
    <w:rsid w:val="002F6787"/>
    <w:rsid w:val="002F6BF4"/>
    <w:rsid w:val="002F6C5E"/>
    <w:rsid w:val="002F7EF9"/>
    <w:rsid w:val="00300721"/>
    <w:rsid w:val="00300737"/>
    <w:rsid w:val="00301478"/>
    <w:rsid w:val="0030176E"/>
    <w:rsid w:val="00301A96"/>
    <w:rsid w:val="00302517"/>
    <w:rsid w:val="0030285D"/>
    <w:rsid w:val="00303E48"/>
    <w:rsid w:val="00304443"/>
    <w:rsid w:val="00304B2A"/>
    <w:rsid w:val="0030501B"/>
    <w:rsid w:val="00305782"/>
    <w:rsid w:val="0030689C"/>
    <w:rsid w:val="00306F85"/>
    <w:rsid w:val="00307589"/>
    <w:rsid w:val="0031010F"/>
    <w:rsid w:val="00310159"/>
    <w:rsid w:val="003107CE"/>
    <w:rsid w:val="00313AC7"/>
    <w:rsid w:val="003143E5"/>
    <w:rsid w:val="00315981"/>
    <w:rsid w:val="00316497"/>
    <w:rsid w:val="00316FF3"/>
    <w:rsid w:val="00317379"/>
    <w:rsid w:val="0031792E"/>
    <w:rsid w:val="00317A2F"/>
    <w:rsid w:val="00317C27"/>
    <w:rsid w:val="0032013F"/>
    <w:rsid w:val="00320CDD"/>
    <w:rsid w:val="00320FCE"/>
    <w:rsid w:val="0032109C"/>
    <w:rsid w:val="003213C7"/>
    <w:rsid w:val="00321BAB"/>
    <w:rsid w:val="00321E8D"/>
    <w:rsid w:val="0032221D"/>
    <w:rsid w:val="003222DC"/>
    <w:rsid w:val="00322A8F"/>
    <w:rsid w:val="00322E9E"/>
    <w:rsid w:val="00324174"/>
    <w:rsid w:val="00324A62"/>
    <w:rsid w:val="00325042"/>
    <w:rsid w:val="003256B4"/>
    <w:rsid w:val="0032687C"/>
    <w:rsid w:val="0033014A"/>
    <w:rsid w:val="0033162B"/>
    <w:rsid w:val="00331D7E"/>
    <w:rsid w:val="003320E7"/>
    <w:rsid w:val="00332695"/>
    <w:rsid w:val="00332CFB"/>
    <w:rsid w:val="00333358"/>
    <w:rsid w:val="003333F7"/>
    <w:rsid w:val="0033345C"/>
    <w:rsid w:val="003335A8"/>
    <w:rsid w:val="00333F33"/>
    <w:rsid w:val="003341EA"/>
    <w:rsid w:val="00334D54"/>
    <w:rsid w:val="00335994"/>
    <w:rsid w:val="00335C3C"/>
    <w:rsid w:val="00336554"/>
    <w:rsid w:val="0033694F"/>
    <w:rsid w:val="00337A3A"/>
    <w:rsid w:val="00337B1A"/>
    <w:rsid w:val="00337CE2"/>
    <w:rsid w:val="003401D6"/>
    <w:rsid w:val="0034048B"/>
    <w:rsid w:val="0034066B"/>
    <w:rsid w:val="00340AA4"/>
    <w:rsid w:val="00340ADC"/>
    <w:rsid w:val="0034118E"/>
    <w:rsid w:val="003417E3"/>
    <w:rsid w:val="0034181F"/>
    <w:rsid w:val="0034231D"/>
    <w:rsid w:val="00342A92"/>
    <w:rsid w:val="00343719"/>
    <w:rsid w:val="00343D3C"/>
    <w:rsid w:val="00344AE6"/>
    <w:rsid w:val="00344B8D"/>
    <w:rsid w:val="00344BED"/>
    <w:rsid w:val="00344C04"/>
    <w:rsid w:val="00344ECC"/>
    <w:rsid w:val="00345E48"/>
    <w:rsid w:val="003469E3"/>
    <w:rsid w:val="00346C10"/>
    <w:rsid w:val="00346C60"/>
    <w:rsid w:val="00347C89"/>
    <w:rsid w:val="0035030C"/>
    <w:rsid w:val="00351A65"/>
    <w:rsid w:val="003527EB"/>
    <w:rsid w:val="00352E01"/>
    <w:rsid w:val="00352E49"/>
    <w:rsid w:val="00353BDE"/>
    <w:rsid w:val="00356594"/>
    <w:rsid w:val="003566C8"/>
    <w:rsid w:val="003567E3"/>
    <w:rsid w:val="0035681B"/>
    <w:rsid w:val="00357E66"/>
    <w:rsid w:val="003608BF"/>
    <w:rsid w:val="003608CE"/>
    <w:rsid w:val="00362ACC"/>
    <w:rsid w:val="00362BD5"/>
    <w:rsid w:val="003637A9"/>
    <w:rsid w:val="00363D68"/>
    <w:rsid w:val="00364B83"/>
    <w:rsid w:val="00364C5D"/>
    <w:rsid w:val="003651B9"/>
    <w:rsid w:val="00365752"/>
    <w:rsid w:val="0036663F"/>
    <w:rsid w:val="00366987"/>
    <w:rsid w:val="00366A5E"/>
    <w:rsid w:val="00367771"/>
    <w:rsid w:val="0037016C"/>
    <w:rsid w:val="003706D8"/>
    <w:rsid w:val="003711D1"/>
    <w:rsid w:val="003720CD"/>
    <w:rsid w:val="00373043"/>
    <w:rsid w:val="00374998"/>
    <w:rsid w:val="003765F8"/>
    <w:rsid w:val="00376B9D"/>
    <w:rsid w:val="00377D3C"/>
    <w:rsid w:val="003825D7"/>
    <w:rsid w:val="0038346B"/>
    <w:rsid w:val="00383B1B"/>
    <w:rsid w:val="0038457C"/>
    <w:rsid w:val="00384605"/>
    <w:rsid w:val="00385644"/>
    <w:rsid w:val="00385838"/>
    <w:rsid w:val="00385E53"/>
    <w:rsid w:val="003867C9"/>
    <w:rsid w:val="00386932"/>
    <w:rsid w:val="00386AFB"/>
    <w:rsid w:val="00386C5C"/>
    <w:rsid w:val="00386C78"/>
    <w:rsid w:val="00386D97"/>
    <w:rsid w:val="00387C12"/>
    <w:rsid w:val="00390002"/>
    <w:rsid w:val="003915A6"/>
    <w:rsid w:val="0039242C"/>
    <w:rsid w:val="003926DC"/>
    <w:rsid w:val="00392BBF"/>
    <w:rsid w:val="00393DC6"/>
    <w:rsid w:val="00393FA8"/>
    <w:rsid w:val="00394147"/>
    <w:rsid w:val="003941CA"/>
    <w:rsid w:val="00394A8E"/>
    <w:rsid w:val="00394B88"/>
    <w:rsid w:val="0039513E"/>
    <w:rsid w:val="00396C70"/>
    <w:rsid w:val="003A2182"/>
    <w:rsid w:val="003A22B2"/>
    <w:rsid w:val="003A245C"/>
    <w:rsid w:val="003A24F4"/>
    <w:rsid w:val="003A2B0D"/>
    <w:rsid w:val="003A2B0F"/>
    <w:rsid w:val="003A3238"/>
    <w:rsid w:val="003A347D"/>
    <w:rsid w:val="003A3D71"/>
    <w:rsid w:val="003A407A"/>
    <w:rsid w:val="003A414F"/>
    <w:rsid w:val="003A43E9"/>
    <w:rsid w:val="003A4D8E"/>
    <w:rsid w:val="003A58C9"/>
    <w:rsid w:val="003A5BA3"/>
    <w:rsid w:val="003A607B"/>
    <w:rsid w:val="003A683F"/>
    <w:rsid w:val="003A6994"/>
    <w:rsid w:val="003A6E98"/>
    <w:rsid w:val="003A74CD"/>
    <w:rsid w:val="003A7BC6"/>
    <w:rsid w:val="003B053F"/>
    <w:rsid w:val="003B0626"/>
    <w:rsid w:val="003B1059"/>
    <w:rsid w:val="003B116A"/>
    <w:rsid w:val="003B19BE"/>
    <w:rsid w:val="003B1BED"/>
    <w:rsid w:val="003B2259"/>
    <w:rsid w:val="003B3102"/>
    <w:rsid w:val="003B3160"/>
    <w:rsid w:val="003B3593"/>
    <w:rsid w:val="003B3E0E"/>
    <w:rsid w:val="003B47E0"/>
    <w:rsid w:val="003B488C"/>
    <w:rsid w:val="003B629C"/>
    <w:rsid w:val="003B635E"/>
    <w:rsid w:val="003B7217"/>
    <w:rsid w:val="003B7838"/>
    <w:rsid w:val="003C0142"/>
    <w:rsid w:val="003C041E"/>
    <w:rsid w:val="003C0B1A"/>
    <w:rsid w:val="003C186C"/>
    <w:rsid w:val="003C2238"/>
    <w:rsid w:val="003C244F"/>
    <w:rsid w:val="003C48F0"/>
    <w:rsid w:val="003C588F"/>
    <w:rsid w:val="003C64A7"/>
    <w:rsid w:val="003C6AA8"/>
    <w:rsid w:val="003D0890"/>
    <w:rsid w:val="003D0B44"/>
    <w:rsid w:val="003D1B23"/>
    <w:rsid w:val="003D1E05"/>
    <w:rsid w:val="003D24E3"/>
    <w:rsid w:val="003D26CA"/>
    <w:rsid w:val="003D2D48"/>
    <w:rsid w:val="003D37B5"/>
    <w:rsid w:val="003D39A5"/>
    <w:rsid w:val="003D3EB2"/>
    <w:rsid w:val="003D42BC"/>
    <w:rsid w:val="003D45CF"/>
    <w:rsid w:val="003D58AB"/>
    <w:rsid w:val="003D6226"/>
    <w:rsid w:val="003D6742"/>
    <w:rsid w:val="003D718C"/>
    <w:rsid w:val="003D76F0"/>
    <w:rsid w:val="003E082E"/>
    <w:rsid w:val="003E19DD"/>
    <w:rsid w:val="003E2DB3"/>
    <w:rsid w:val="003E2E1F"/>
    <w:rsid w:val="003E33D1"/>
    <w:rsid w:val="003E40BF"/>
    <w:rsid w:val="003E41D7"/>
    <w:rsid w:val="003E4290"/>
    <w:rsid w:val="003E4997"/>
    <w:rsid w:val="003E736E"/>
    <w:rsid w:val="003E7AC0"/>
    <w:rsid w:val="003F0C50"/>
    <w:rsid w:val="003F163E"/>
    <w:rsid w:val="003F1ED6"/>
    <w:rsid w:val="003F25DC"/>
    <w:rsid w:val="003F37B8"/>
    <w:rsid w:val="003F42CF"/>
    <w:rsid w:val="003F5686"/>
    <w:rsid w:val="003F62EF"/>
    <w:rsid w:val="00400EE9"/>
    <w:rsid w:val="0040184D"/>
    <w:rsid w:val="00401F85"/>
    <w:rsid w:val="00404F72"/>
    <w:rsid w:val="00405E37"/>
    <w:rsid w:val="0040694B"/>
    <w:rsid w:val="00406A57"/>
    <w:rsid w:val="00407D75"/>
    <w:rsid w:val="00407DFA"/>
    <w:rsid w:val="0041034F"/>
    <w:rsid w:val="004103F2"/>
    <w:rsid w:val="004104B4"/>
    <w:rsid w:val="004108EE"/>
    <w:rsid w:val="004116D8"/>
    <w:rsid w:val="004120AB"/>
    <w:rsid w:val="004124AA"/>
    <w:rsid w:val="00413089"/>
    <w:rsid w:val="00413C19"/>
    <w:rsid w:val="00414A4E"/>
    <w:rsid w:val="00415949"/>
    <w:rsid w:val="004159E5"/>
    <w:rsid w:val="00415AC4"/>
    <w:rsid w:val="004165E7"/>
    <w:rsid w:val="00416827"/>
    <w:rsid w:val="004168B2"/>
    <w:rsid w:val="00416EA5"/>
    <w:rsid w:val="0041799C"/>
    <w:rsid w:val="004220FA"/>
    <w:rsid w:val="00422444"/>
    <w:rsid w:val="00422A72"/>
    <w:rsid w:val="00422F59"/>
    <w:rsid w:val="0042314F"/>
    <w:rsid w:val="00423509"/>
    <w:rsid w:val="00423CC2"/>
    <w:rsid w:val="004254A6"/>
    <w:rsid w:val="00425C48"/>
    <w:rsid w:val="00425DA9"/>
    <w:rsid w:val="00425E19"/>
    <w:rsid w:val="00426F9B"/>
    <w:rsid w:val="00427040"/>
    <w:rsid w:val="00427BC1"/>
    <w:rsid w:val="00427FBA"/>
    <w:rsid w:val="0043006D"/>
    <w:rsid w:val="00430A78"/>
    <w:rsid w:val="0043170C"/>
    <w:rsid w:val="00431812"/>
    <w:rsid w:val="004322C0"/>
    <w:rsid w:val="00432519"/>
    <w:rsid w:val="004329B6"/>
    <w:rsid w:val="00433110"/>
    <w:rsid w:val="00433ED0"/>
    <w:rsid w:val="00434345"/>
    <w:rsid w:val="004349B3"/>
    <w:rsid w:val="00434C4A"/>
    <w:rsid w:val="004353C5"/>
    <w:rsid w:val="00435A03"/>
    <w:rsid w:val="00435D91"/>
    <w:rsid w:val="00436CFA"/>
    <w:rsid w:val="00436D29"/>
    <w:rsid w:val="00437C75"/>
    <w:rsid w:val="00440623"/>
    <w:rsid w:val="0044314E"/>
    <w:rsid w:val="00443269"/>
    <w:rsid w:val="004435B8"/>
    <w:rsid w:val="004437BA"/>
    <w:rsid w:val="00443C68"/>
    <w:rsid w:val="00443DE3"/>
    <w:rsid w:val="00445190"/>
    <w:rsid w:val="00445D97"/>
    <w:rsid w:val="00447F37"/>
    <w:rsid w:val="00450378"/>
    <w:rsid w:val="00450A6C"/>
    <w:rsid w:val="00450DA1"/>
    <w:rsid w:val="00454336"/>
    <w:rsid w:val="00454A0E"/>
    <w:rsid w:val="004556B2"/>
    <w:rsid w:val="00455E1A"/>
    <w:rsid w:val="004572D3"/>
    <w:rsid w:val="00457690"/>
    <w:rsid w:val="0046155C"/>
    <w:rsid w:val="00462A98"/>
    <w:rsid w:val="00463C4E"/>
    <w:rsid w:val="00464710"/>
    <w:rsid w:val="00464B2E"/>
    <w:rsid w:val="004652F5"/>
    <w:rsid w:val="0046535E"/>
    <w:rsid w:val="00467DCA"/>
    <w:rsid w:val="00472BF2"/>
    <w:rsid w:val="00472C62"/>
    <w:rsid w:val="0047355A"/>
    <w:rsid w:val="00475C42"/>
    <w:rsid w:val="00477684"/>
    <w:rsid w:val="0048037E"/>
    <w:rsid w:val="004803CB"/>
    <w:rsid w:val="00480558"/>
    <w:rsid w:val="00480F3D"/>
    <w:rsid w:val="00482270"/>
    <w:rsid w:val="0048264C"/>
    <w:rsid w:val="00482736"/>
    <w:rsid w:val="00482985"/>
    <w:rsid w:val="0048338A"/>
    <w:rsid w:val="00483442"/>
    <w:rsid w:val="00483EAA"/>
    <w:rsid w:val="004842C7"/>
    <w:rsid w:val="004845C0"/>
    <w:rsid w:val="004845F2"/>
    <w:rsid w:val="004848D4"/>
    <w:rsid w:val="00485311"/>
    <w:rsid w:val="004858B2"/>
    <w:rsid w:val="004859CD"/>
    <w:rsid w:val="00485F3B"/>
    <w:rsid w:val="00486DF8"/>
    <w:rsid w:val="00486EA0"/>
    <w:rsid w:val="00486F1F"/>
    <w:rsid w:val="00486FE6"/>
    <w:rsid w:val="00487D28"/>
    <w:rsid w:val="00490B31"/>
    <w:rsid w:val="00490CC7"/>
    <w:rsid w:val="004911A0"/>
    <w:rsid w:val="00492603"/>
    <w:rsid w:val="00492BE9"/>
    <w:rsid w:val="00492DC3"/>
    <w:rsid w:val="00494129"/>
    <w:rsid w:val="00495AAD"/>
    <w:rsid w:val="00497212"/>
    <w:rsid w:val="00497492"/>
    <w:rsid w:val="004A22A9"/>
    <w:rsid w:val="004A3EC5"/>
    <w:rsid w:val="004A4C9F"/>
    <w:rsid w:val="004A4F84"/>
    <w:rsid w:val="004A59B3"/>
    <w:rsid w:val="004A5B48"/>
    <w:rsid w:val="004A6344"/>
    <w:rsid w:val="004A6753"/>
    <w:rsid w:val="004A7447"/>
    <w:rsid w:val="004A7811"/>
    <w:rsid w:val="004B02F3"/>
    <w:rsid w:val="004B06F9"/>
    <w:rsid w:val="004B1E97"/>
    <w:rsid w:val="004B2034"/>
    <w:rsid w:val="004B29B8"/>
    <w:rsid w:val="004B29EB"/>
    <w:rsid w:val="004B2AC7"/>
    <w:rsid w:val="004B33A2"/>
    <w:rsid w:val="004B51B8"/>
    <w:rsid w:val="004B7742"/>
    <w:rsid w:val="004C03CA"/>
    <w:rsid w:val="004C0B81"/>
    <w:rsid w:val="004C0BDF"/>
    <w:rsid w:val="004C20AC"/>
    <w:rsid w:val="004C28A9"/>
    <w:rsid w:val="004C2DFD"/>
    <w:rsid w:val="004C2E09"/>
    <w:rsid w:val="004C42A2"/>
    <w:rsid w:val="004C47E7"/>
    <w:rsid w:val="004C48E2"/>
    <w:rsid w:val="004C574D"/>
    <w:rsid w:val="004C5FBD"/>
    <w:rsid w:val="004C6182"/>
    <w:rsid w:val="004C7134"/>
    <w:rsid w:val="004C73C9"/>
    <w:rsid w:val="004C7B3D"/>
    <w:rsid w:val="004D085C"/>
    <w:rsid w:val="004D0E64"/>
    <w:rsid w:val="004D10A9"/>
    <w:rsid w:val="004D1240"/>
    <w:rsid w:val="004D1BAD"/>
    <w:rsid w:val="004D1EC9"/>
    <w:rsid w:val="004D293A"/>
    <w:rsid w:val="004D2FEF"/>
    <w:rsid w:val="004D37CD"/>
    <w:rsid w:val="004D504D"/>
    <w:rsid w:val="004D6E8A"/>
    <w:rsid w:val="004D7FA2"/>
    <w:rsid w:val="004E0061"/>
    <w:rsid w:val="004E0C9A"/>
    <w:rsid w:val="004E188B"/>
    <w:rsid w:val="004E1D46"/>
    <w:rsid w:val="004E2A74"/>
    <w:rsid w:val="004E349D"/>
    <w:rsid w:val="004E37AB"/>
    <w:rsid w:val="004E3968"/>
    <w:rsid w:val="004E3AAB"/>
    <w:rsid w:val="004E3B25"/>
    <w:rsid w:val="004E4694"/>
    <w:rsid w:val="004E4DA0"/>
    <w:rsid w:val="004E696F"/>
    <w:rsid w:val="004E78BB"/>
    <w:rsid w:val="004F02B8"/>
    <w:rsid w:val="004F0D30"/>
    <w:rsid w:val="004F0E87"/>
    <w:rsid w:val="004F0E94"/>
    <w:rsid w:val="004F0F5C"/>
    <w:rsid w:val="004F1640"/>
    <w:rsid w:val="004F1BE4"/>
    <w:rsid w:val="004F2AB1"/>
    <w:rsid w:val="004F3ACA"/>
    <w:rsid w:val="004F3EDC"/>
    <w:rsid w:val="004F4043"/>
    <w:rsid w:val="004F457A"/>
    <w:rsid w:val="004F4C64"/>
    <w:rsid w:val="004F5437"/>
    <w:rsid w:val="004F57B1"/>
    <w:rsid w:val="004F7AA8"/>
    <w:rsid w:val="00500661"/>
    <w:rsid w:val="00501346"/>
    <w:rsid w:val="00502432"/>
    <w:rsid w:val="00502BFC"/>
    <w:rsid w:val="0050458E"/>
    <w:rsid w:val="00505625"/>
    <w:rsid w:val="0050675D"/>
    <w:rsid w:val="00507F6C"/>
    <w:rsid w:val="0051012F"/>
    <w:rsid w:val="00510932"/>
    <w:rsid w:val="0051161E"/>
    <w:rsid w:val="0051295E"/>
    <w:rsid w:val="00513C76"/>
    <w:rsid w:val="0051433A"/>
    <w:rsid w:val="005145EF"/>
    <w:rsid w:val="00514A71"/>
    <w:rsid w:val="00515792"/>
    <w:rsid w:val="00517733"/>
    <w:rsid w:val="00517C63"/>
    <w:rsid w:val="00520953"/>
    <w:rsid w:val="0052162F"/>
    <w:rsid w:val="00521792"/>
    <w:rsid w:val="00521FE4"/>
    <w:rsid w:val="005221A3"/>
    <w:rsid w:val="00522476"/>
    <w:rsid w:val="00522B8D"/>
    <w:rsid w:val="00522CEF"/>
    <w:rsid w:val="00522E1F"/>
    <w:rsid w:val="005238EE"/>
    <w:rsid w:val="00523D9C"/>
    <w:rsid w:val="00524FFA"/>
    <w:rsid w:val="005250A4"/>
    <w:rsid w:val="00525169"/>
    <w:rsid w:val="0052608C"/>
    <w:rsid w:val="0052614F"/>
    <w:rsid w:val="005261F8"/>
    <w:rsid w:val="00527263"/>
    <w:rsid w:val="00527C2E"/>
    <w:rsid w:val="00532225"/>
    <w:rsid w:val="00532E4D"/>
    <w:rsid w:val="00534063"/>
    <w:rsid w:val="00534AE2"/>
    <w:rsid w:val="00534D0A"/>
    <w:rsid w:val="005353E1"/>
    <w:rsid w:val="00535AC2"/>
    <w:rsid w:val="00536ACB"/>
    <w:rsid w:val="00540A64"/>
    <w:rsid w:val="0054117E"/>
    <w:rsid w:val="00541367"/>
    <w:rsid w:val="005413C8"/>
    <w:rsid w:val="005414F0"/>
    <w:rsid w:val="00541E70"/>
    <w:rsid w:val="005421BD"/>
    <w:rsid w:val="00542A7F"/>
    <w:rsid w:val="00542C48"/>
    <w:rsid w:val="00545499"/>
    <w:rsid w:val="0054597E"/>
    <w:rsid w:val="00545CA2"/>
    <w:rsid w:val="00546508"/>
    <w:rsid w:val="00546544"/>
    <w:rsid w:val="0054659C"/>
    <w:rsid w:val="005465E9"/>
    <w:rsid w:val="00547377"/>
    <w:rsid w:val="005476AF"/>
    <w:rsid w:val="00547AB2"/>
    <w:rsid w:val="00551D4F"/>
    <w:rsid w:val="00553163"/>
    <w:rsid w:val="005535A3"/>
    <w:rsid w:val="0055429A"/>
    <w:rsid w:val="00555C07"/>
    <w:rsid w:val="00557102"/>
    <w:rsid w:val="00557208"/>
    <w:rsid w:val="00557672"/>
    <w:rsid w:val="00557A05"/>
    <w:rsid w:val="00557D10"/>
    <w:rsid w:val="00557DF9"/>
    <w:rsid w:val="00557EED"/>
    <w:rsid w:val="005601C5"/>
    <w:rsid w:val="00560D9C"/>
    <w:rsid w:val="0056265F"/>
    <w:rsid w:val="00562853"/>
    <w:rsid w:val="005629C3"/>
    <w:rsid w:val="00562E1C"/>
    <w:rsid w:val="005630CC"/>
    <w:rsid w:val="00564011"/>
    <w:rsid w:val="00564139"/>
    <w:rsid w:val="0056739E"/>
    <w:rsid w:val="00567A22"/>
    <w:rsid w:val="005712C1"/>
    <w:rsid w:val="00572CDA"/>
    <w:rsid w:val="00573060"/>
    <w:rsid w:val="005733A3"/>
    <w:rsid w:val="0057343E"/>
    <w:rsid w:val="005736A2"/>
    <w:rsid w:val="00573B5D"/>
    <w:rsid w:val="005740EA"/>
    <w:rsid w:val="005751C2"/>
    <w:rsid w:val="00575B99"/>
    <w:rsid w:val="0057606E"/>
    <w:rsid w:val="00576291"/>
    <w:rsid w:val="005767AF"/>
    <w:rsid w:val="00576B6B"/>
    <w:rsid w:val="00576E7B"/>
    <w:rsid w:val="0057759E"/>
    <w:rsid w:val="00577CD2"/>
    <w:rsid w:val="005807E9"/>
    <w:rsid w:val="00580BF7"/>
    <w:rsid w:val="00581F7C"/>
    <w:rsid w:val="0058202C"/>
    <w:rsid w:val="00583255"/>
    <w:rsid w:val="00584536"/>
    <w:rsid w:val="005857F3"/>
    <w:rsid w:val="005857F9"/>
    <w:rsid w:val="005866A1"/>
    <w:rsid w:val="00587358"/>
    <w:rsid w:val="00590ED8"/>
    <w:rsid w:val="0059107B"/>
    <w:rsid w:val="0059183F"/>
    <w:rsid w:val="00591E38"/>
    <w:rsid w:val="00592969"/>
    <w:rsid w:val="00594AD1"/>
    <w:rsid w:val="00594F13"/>
    <w:rsid w:val="005978A4"/>
    <w:rsid w:val="00597D35"/>
    <w:rsid w:val="00597D9F"/>
    <w:rsid w:val="005A012E"/>
    <w:rsid w:val="005A0C89"/>
    <w:rsid w:val="005A26A8"/>
    <w:rsid w:val="005A2791"/>
    <w:rsid w:val="005A2CCF"/>
    <w:rsid w:val="005A319A"/>
    <w:rsid w:val="005A4191"/>
    <w:rsid w:val="005A44E0"/>
    <w:rsid w:val="005A489D"/>
    <w:rsid w:val="005A5097"/>
    <w:rsid w:val="005A5E66"/>
    <w:rsid w:val="005A5FD9"/>
    <w:rsid w:val="005A6487"/>
    <w:rsid w:val="005A6B39"/>
    <w:rsid w:val="005A6BBA"/>
    <w:rsid w:val="005A6DA2"/>
    <w:rsid w:val="005A7077"/>
    <w:rsid w:val="005A7F4F"/>
    <w:rsid w:val="005B0727"/>
    <w:rsid w:val="005B08E9"/>
    <w:rsid w:val="005B1357"/>
    <w:rsid w:val="005B32EF"/>
    <w:rsid w:val="005B34D5"/>
    <w:rsid w:val="005B408C"/>
    <w:rsid w:val="005B481E"/>
    <w:rsid w:val="005B4D9D"/>
    <w:rsid w:val="005B4F78"/>
    <w:rsid w:val="005B4FD3"/>
    <w:rsid w:val="005B5001"/>
    <w:rsid w:val="005B54E4"/>
    <w:rsid w:val="005B5AD5"/>
    <w:rsid w:val="005B62F0"/>
    <w:rsid w:val="005B69C1"/>
    <w:rsid w:val="005C06F4"/>
    <w:rsid w:val="005C116D"/>
    <w:rsid w:val="005C1A19"/>
    <w:rsid w:val="005C264E"/>
    <w:rsid w:val="005C32FB"/>
    <w:rsid w:val="005C3497"/>
    <w:rsid w:val="005C3B18"/>
    <w:rsid w:val="005C51F5"/>
    <w:rsid w:val="005C5DA5"/>
    <w:rsid w:val="005C6B2C"/>
    <w:rsid w:val="005D0971"/>
    <w:rsid w:val="005D100D"/>
    <w:rsid w:val="005D1EB3"/>
    <w:rsid w:val="005D210F"/>
    <w:rsid w:val="005D28EA"/>
    <w:rsid w:val="005D29EF"/>
    <w:rsid w:val="005D3AAB"/>
    <w:rsid w:val="005D3C1F"/>
    <w:rsid w:val="005D4A64"/>
    <w:rsid w:val="005D4F37"/>
    <w:rsid w:val="005D53CD"/>
    <w:rsid w:val="005D5810"/>
    <w:rsid w:val="005D5D5C"/>
    <w:rsid w:val="005D65C9"/>
    <w:rsid w:val="005D7F1D"/>
    <w:rsid w:val="005E061F"/>
    <w:rsid w:val="005E099D"/>
    <w:rsid w:val="005E2246"/>
    <w:rsid w:val="005E24E8"/>
    <w:rsid w:val="005E27AB"/>
    <w:rsid w:val="005E4311"/>
    <w:rsid w:val="005E4A1A"/>
    <w:rsid w:val="005E6315"/>
    <w:rsid w:val="005E6BF6"/>
    <w:rsid w:val="005E6C3A"/>
    <w:rsid w:val="005E7664"/>
    <w:rsid w:val="005E79FD"/>
    <w:rsid w:val="005F1AAA"/>
    <w:rsid w:val="005F292C"/>
    <w:rsid w:val="005F44AB"/>
    <w:rsid w:val="005F485A"/>
    <w:rsid w:val="005F63EF"/>
    <w:rsid w:val="005F6BE6"/>
    <w:rsid w:val="005F74A1"/>
    <w:rsid w:val="005F760F"/>
    <w:rsid w:val="005F77A5"/>
    <w:rsid w:val="006000CC"/>
    <w:rsid w:val="00600193"/>
    <w:rsid w:val="00601DD0"/>
    <w:rsid w:val="0060271A"/>
    <w:rsid w:val="00602910"/>
    <w:rsid w:val="00602C32"/>
    <w:rsid w:val="00602CAF"/>
    <w:rsid w:val="00603F10"/>
    <w:rsid w:val="00604299"/>
    <w:rsid w:val="006056B4"/>
    <w:rsid w:val="00605D24"/>
    <w:rsid w:val="00605DDB"/>
    <w:rsid w:val="00606B70"/>
    <w:rsid w:val="0061060A"/>
    <w:rsid w:val="00610ED2"/>
    <w:rsid w:val="00611305"/>
    <w:rsid w:val="00612DE0"/>
    <w:rsid w:val="00613AC3"/>
    <w:rsid w:val="00615145"/>
    <w:rsid w:val="00615944"/>
    <w:rsid w:val="00615D64"/>
    <w:rsid w:val="00616ECD"/>
    <w:rsid w:val="00620498"/>
    <w:rsid w:val="006209C2"/>
    <w:rsid w:val="0062158F"/>
    <w:rsid w:val="0062164D"/>
    <w:rsid w:val="00621C7F"/>
    <w:rsid w:val="006232BA"/>
    <w:rsid w:val="00623493"/>
    <w:rsid w:val="00624AE6"/>
    <w:rsid w:val="0062515B"/>
    <w:rsid w:val="0062547C"/>
    <w:rsid w:val="006261EC"/>
    <w:rsid w:val="00626C40"/>
    <w:rsid w:val="00627068"/>
    <w:rsid w:val="006311BE"/>
    <w:rsid w:val="00631923"/>
    <w:rsid w:val="00631951"/>
    <w:rsid w:val="006320EE"/>
    <w:rsid w:val="006322F8"/>
    <w:rsid w:val="006327CB"/>
    <w:rsid w:val="006331C5"/>
    <w:rsid w:val="006333E1"/>
    <w:rsid w:val="00633893"/>
    <w:rsid w:val="0063396F"/>
    <w:rsid w:val="00634D85"/>
    <w:rsid w:val="00635A77"/>
    <w:rsid w:val="00635C4E"/>
    <w:rsid w:val="00635D67"/>
    <w:rsid w:val="00635F5C"/>
    <w:rsid w:val="00637533"/>
    <w:rsid w:val="00640052"/>
    <w:rsid w:val="006406D9"/>
    <w:rsid w:val="00641B19"/>
    <w:rsid w:val="006431B1"/>
    <w:rsid w:val="00644ED5"/>
    <w:rsid w:val="00645C5D"/>
    <w:rsid w:val="00647389"/>
    <w:rsid w:val="00647A20"/>
    <w:rsid w:val="00650109"/>
    <w:rsid w:val="0065121B"/>
    <w:rsid w:val="0065160A"/>
    <w:rsid w:val="0065161C"/>
    <w:rsid w:val="00651B9A"/>
    <w:rsid w:val="00651D1F"/>
    <w:rsid w:val="00652BAA"/>
    <w:rsid w:val="00652E52"/>
    <w:rsid w:val="00653187"/>
    <w:rsid w:val="0065364E"/>
    <w:rsid w:val="006544E1"/>
    <w:rsid w:val="006546EC"/>
    <w:rsid w:val="00654A96"/>
    <w:rsid w:val="006555C0"/>
    <w:rsid w:val="00655BD7"/>
    <w:rsid w:val="006561E7"/>
    <w:rsid w:val="006566E3"/>
    <w:rsid w:val="00656F7E"/>
    <w:rsid w:val="00660556"/>
    <w:rsid w:val="00660AF2"/>
    <w:rsid w:val="0066197A"/>
    <w:rsid w:val="00662529"/>
    <w:rsid w:val="00662858"/>
    <w:rsid w:val="00662B6F"/>
    <w:rsid w:val="006630EF"/>
    <w:rsid w:val="00663888"/>
    <w:rsid w:val="00663FE0"/>
    <w:rsid w:val="006650BD"/>
    <w:rsid w:val="006651AE"/>
    <w:rsid w:val="00665C04"/>
    <w:rsid w:val="00665F53"/>
    <w:rsid w:val="00666946"/>
    <w:rsid w:val="006669EB"/>
    <w:rsid w:val="00666AC4"/>
    <w:rsid w:val="00666E3C"/>
    <w:rsid w:val="006678A0"/>
    <w:rsid w:val="00667BC9"/>
    <w:rsid w:val="00670978"/>
    <w:rsid w:val="006716A0"/>
    <w:rsid w:val="006731F9"/>
    <w:rsid w:val="006753B4"/>
    <w:rsid w:val="0067567B"/>
    <w:rsid w:val="00675984"/>
    <w:rsid w:val="00675D17"/>
    <w:rsid w:val="00675D2D"/>
    <w:rsid w:val="00676626"/>
    <w:rsid w:val="006775EE"/>
    <w:rsid w:val="006777E1"/>
    <w:rsid w:val="00677E38"/>
    <w:rsid w:val="0068010D"/>
    <w:rsid w:val="006808D6"/>
    <w:rsid w:val="00680ECA"/>
    <w:rsid w:val="006810A4"/>
    <w:rsid w:val="00682948"/>
    <w:rsid w:val="00682EC4"/>
    <w:rsid w:val="00683270"/>
    <w:rsid w:val="00683E99"/>
    <w:rsid w:val="00684AD6"/>
    <w:rsid w:val="00685660"/>
    <w:rsid w:val="00685A6E"/>
    <w:rsid w:val="00685FF3"/>
    <w:rsid w:val="006870DD"/>
    <w:rsid w:val="00692D17"/>
    <w:rsid w:val="00693960"/>
    <w:rsid w:val="006945D8"/>
    <w:rsid w:val="0069470F"/>
    <w:rsid w:val="00694A2C"/>
    <w:rsid w:val="00696463"/>
    <w:rsid w:val="006A031F"/>
    <w:rsid w:val="006A0850"/>
    <w:rsid w:val="006A10E8"/>
    <w:rsid w:val="006A1BDF"/>
    <w:rsid w:val="006A2A14"/>
    <w:rsid w:val="006A343E"/>
    <w:rsid w:val="006A363C"/>
    <w:rsid w:val="006A54D4"/>
    <w:rsid w:val="006A58F2"/>
    <w:rsid w:val="006A611B"/>
    <w:rsid w:val="006A787B"/>
    <w:rsid w:val="006A7D00"/>
    <w:rsid w:val="006B182F"/>
    <w:rsid w:val="006B3053"/>
    <w:rsid w:val="006B3D19"/>
    <w:rsid w:val="006B3F3F"/>
    <w:rsid w:val="006B44F7"/>
    <w:rsid w:val="006B4AF3"/>
    <w:rsid w:val="006B4DCC"/>
    <w:rsid w:val="006B4F63"/>
    <w:rsid w:val="006B5774"/>
    <w:rsid w:val="006B5B40"/>
    <w:rsid w:val="006B5D59"/>
    <w:rsid w:val="006B7C2E"/>
    <w:rsid w:val="006C13EB"/>
    <w:rsid w:val="006C1611"/>
    <w:rsid w:val="006C2A39"/>
    <w:rsid w:val="006C423B"/>
    <w:rsid w:val="006C4F2B"/>
    <w:rsid w:val="006C5B83"/>
    <w:rsid w:val="006C646B"/>
    <w:rsid w:val="006C6B17"/>
    <w:rsid w:val="006D0AE5"/>
    <w:rsid w:val="006D1FBB"/>
    <w:rsid w:val="006D2680"/>
    <w:rsid w:val="006D390F"/>
    <w:rsid w:val="006D5AB2"/>
    <w:rsid w:val="006E06BF"/>
    <w:rsid w:val="006E1140"/>
    <w:rsid w:val="006E151E"/>
    <w:rsid w:val="006E18E6"/>
    <w:rsid w:val="006E2488"/>
    <w:rsid w:val="006E2BAF"/>
    <w:rsid w:val="006E2D7D"/>
    <w:rsid w:val="006E32E9"/>
    <w:rsid w:val="006E4163"/>
    <w:rsid w:val="006E6CB1"/>
    <w:rsid w:val="006E7137"/>
    <w:rsid w:val="006E741F"/>
    <w:rsid w:val="006E759D"/>
    <w:rsid w:val="006F1AF1"/>
    <w:rsid w:val="006F1D11"/>
    <w:rsid w:val="006F276E"/>
    <w:rsid w:val="006F2CB1"/>
    <w:rsid w:val="006F3941"/>
    <w:rsid w:val="006F3F53"/>
    <w:rsid w:val="006F54C6"/>
    <w:rsid w:val="006F5FCA"/>
    <w:rsid w:val="006F6544"/>
    <w:rsid w:val="006F65D8"/>
    <w:rsid w:val="006F7330"/>
    <w:rsid w:val="006F76E5"/>
    <w:rsid w:val="006F7A52"/>
    <w:rsid w:val="00700564"/>
    <w:rsid w:val="00700D64"/>
    <w:rsid w:val="007020DC"/>
    <w:rsid w:val="00704A57"/>
    <w:rsid w:val="0070533B"/>
    <w:rsid w:val="00705469"/>
    <w:rsid w:val="007054E4"/>
    <w:rsid w:val="007056AB"/>
    <w:rsid w:val="007057B5"/>
    <w:rsid w:val="0070581D"/>
    <w:rsid w:val="0070661C"/>
    <w:rsid w:val="00706FD1"/>
    <w:rsid w:val="007073A1"/>
    <w:rsid w:val="00707503"/>
    <w:rsid w:val="00707511"/>
    <w:rsid w:val="0070760C"/>
    <w:rsid w:val="00710081"/>
    <w:rsid w:val="007100AC"/>
    <w:rsid w:val="007102BC"/>
    <w:rsid w:val="00710F6D"/>
    <w:rsid w:val="007113DE"/>
    <w:rsid w:val="00711990"/>
    <w:rsid w:val="0071211B"/>
    <w:rsid w:val="0071257D"/>
    <w:rsid w:val="00712F8E"/>
    <w:rsid w:val="007134C0"/>
    <w:rsid w:val="007145C4"/>
    <w:rsid w:val="00715794"/>
    <w:rsid w:val="0071634E"/>
    <w:rsid w:val="00716B54"/>
    <w:rsid w:val="00716EC1"/>
    <w:rsid w:val="0071763C"/>
    <w:rsid w:val="00720954"/>
    <w:rsid w:val="00720E59"/>
    <w:rsid w:val="00720F5F"/>
    <w:rsid w:val="00721AF3"/>
    <w:rsid w:val="00722368"/>
    <w:rsid w:val="0072249E"/>
    <w:rsid w:val="00722C2F"/>
    <w:rsid w:val="00724482"/>
    <w:rsid w:val="00725D5C"/>
    <w:rsid w:val="00726D85"/>
    <w:rsid w:val="00727084"/>
    <w:rsid w:val="0072716F"/>
    <w:rsid w:val="00730934"/>
    <w:rsid w:val="007311F2"/>
    <w:rsid w:val="0073152E"/>
    <w:rsid w:val="00731F9C"/>
    <w:rsid w:val="0073200F"/>
    <w:rsid w:val="0073293B"/>
    <w:rsid w:val="00732B69"/>
    <w:rsid w:val="00733EC2"/>
    <w:rsid w:val="007342E1"/>
    <w:rsid w:val="00736503"/>
    <w:rsid w:val="007367A2"/>
    <w:rsid w:val="00737E22"/>
    <w:rsid w:val="00737ED1"/>
    <w:rsid w:val="00741001"/>
    <w:rsid w:val="00742459"/>
    <w:rsid w:val="00743F51"/>
    <w:rsid w:val="0074420A"/>
    <w:rsid w:val="00745605"/>
    <w:rsid w:val="00745EFE"/>
    <w:rsid w:val="0074760A"/>
    <w:rsid w:val="00750A89"/>
    <w:rsid w:val="00750EC8"/>
    <w:rsid w:val="00751028"/>
    <w:rsid w:val="0075159F"/>
    <w:rsid w:val="00751AD7"/>
    <w:rsid w:val="00752343"/>
    <w:rsid w:val="00753017"/>
    <w:rsid w:val="007531BB"/>
    <w:rsid w:val="00753373"/>
    <w:rsid w:val="007544E4"/>
    <w:rsid w:val="007548F9"/>
    <w:rsid w:val="00754A62"/>
    <w:rsid w:val="00754C38"/>
    <w:rsid w:val="00754F93"/>
    <w:rsid w:val="00754F9F"/>
    <w:rsid w:val="007560D4"/>
    <w:rsid w:val="00757A81"/>
    <w:rsid w:val="00757BC4"/>
    <w:rsid w:val="00760F07"/>
    <w:rsid w:val="0076135F"/>
    <w:rsid w:val="00762342"/>
    <w:rsid w:val="00763171"/>
    <w:rsid w:val="00763C3E"/>
    <w:rsid w:val="00763CAD"/>
    <w:rsid w:val="007661DB"/>
    <w:rsid w:val="0076667D"/>
    <w:rsid w:val="00770393"/>
    <w:rsid w:val="00771BCD"/>
    <w:rsid w:val="00771DD8"/>
    <w:rsid w:val="00771DF3"/>
    <w:rsid w:val="007731B1"/>
    <w:rsid w:val="00773879"/>
    <w:rsid w:val="00774149"/>
    <w:rsid w:val="00774976"/>
    <w:rsid w:val="007749D3"/>
    <w:rsid w:val="00774A18"/>
    <w:rsid w:val="00774CDA"/>
    <w:rsid w:val="00775028"/>
    <w:rsid w:val="00777365"/>
    <w:rsid w:val="00777BED"/>
    <w:rsid w:val="00777FB2"/>
    <w:rsid w:val="0078023F"/>
    <w:rsid w:val="00780B98"/>
    <w:rsid w:val="00780D11"/>
    <w:rsid w:val="0078139C"/>
    <w:rsid w:val="0078147C"/>
    <w:rsid w:val="007822E6"/>
    <w:rsid w:val="0078259D"/>
    <w:rsid w:val="00782B9D"/>
    <w:rsid w:val="007831C9"/>
    <w:rsid w:val="00783563"/>
    <w:rsid w:val="00784912"/>
    <w:rsid w:val="00784C1A"/>
    <w:rsid w:val="00784E42"/>
    <w:rsid w:val="007850BD"/>
    <w:rsid w:val="007856BD"/>
    <w:rsid w:val="007862ED"/>
    <w:rsid w:val="00786BF4"/>
    <w:rsid w:val="0078764C"/>
    <w:rsid w:val="00790FB1"/>
    <w:rsid w:val="00793140"/>
    <w:rsid w:val="00793A72"/>
    <w:rsid w:val="00794564"/>
    <w:rsid w:val="00794BB7"/>
    <w:rsid w:val="00796619"/>
    <w:rsid w:val="00796952"/>
    <w:rsid w:val="00796A2C"/>
    <w:rsid w:val="00796BC0"/>
    <w:rsid w:val="0079718E"/>
    <w:rsid w:val="007A070F"/>
    <w:rsid w:val="007A0A1C"/>
    <w:rsid w:val="007A13F1"/>
    <w:rsid w:val="007A1C17"/>
    <w:rsid w:val="007A2347"/>
    <w:rsid w:val="007A27B5"/>
    <w:rsid w:val="007A2EF0"/>
    <w:rsid w:val="007A34B4"/>
    <w:rsid w:val="007A371D"/>
    <w:rsid w:val="007A4E10"/>
    <w:rsid w:val="007A5223"/>
    <w:rsid w:val="007A5236"/>
    <w:rsid w:val="007A5E7D"/>
    <w:rsid w:val="007A651D"/>
    <w:rsid w:val="007B052D"/>
    <w:rsid w:val="007B09AB"/>
    <w:rsid w:val="007B1834"/>
    <w:rsid w:val="007B1D04"/>
    <w:rsid w:val="007B2762"/>
    <w:rsid w:val="007B3FB8"/>
    <w:rsid w:val="007B4105"/>
    <w:rsid w:val="007B518B"/>
    <w:rsid w:val="007B68AC"/>
    <w:rsid w:val="007B69EF"/>
    <w:rsid w:val="007C059E"/>
    <w:rsid w:val="007C0D29"/>
    <w:rsid w:val="007C0E15"/>
    <w:rsid w:val="007C1160"/>
    <w:rsid w:val="007C1240"/>
    <w:rsid w:val="007C2B9F"/>
    <w:rsid w:val="007C3AF3"/>
    <w:rsid w:val="007C3F3B"/>
    <w:rsid w:val="007C4B31"/>
    <w:rsid w:val="007C56EB"/>
    <w:rsid w:val="007C6B12"/>
    <w:rsid w:val="007C6D13"/>
    <w:rsid w:val="007D060D"/>
    <w:rsid w:val="007D1BAB"/>
    <w:rsid w:val="007D1C4C"/>
    <w:rsid w:val="007D20E8"/>
    <w:rsid w:val="007D2410"/>
    <w:rsid w:val="007D26CE"/>
    <w:rsid w:val="007D349E"/>
    <w:rsid w:val="007D35B7"/>
    <w:rsid w:val="007D583A"/>
    <w:rsid w:val="007D5A2C"/>
    <w:rsid w:val="007D6190"/>
    <w:rsid w:val="007D6315"/>
    <w:rsid w:val="007D7B99"/>
    <w:rsid w:val="007D7E11"/>
    <w:rsid w:val="007E0247"/>
    <w:rsid w:val="007E0510"/>
    <w:rsid w:val="007E1130"/>
    <w:rsid w:val="007E1298"/>
    <w:rsid w:val="007E1B06"/>
    <w:rsid w:val="007E1E43"/>
    <w:rsid w:val="007E2198"/>
    <w:rsid w:val="007E2219"/>
    <w:rsid w:val="007E2375"/>
    <w:rsid w:val="007E3920"/>
    <w:rsid w:val="007E4522"/>
    <w:rsid w:val="007E4EA7"/>
    <w:rsid w:val="007E5946"/>
    <w:rsid w:val="007E5AB2"/>
    <w:rsid w:val="007E6044"/>
    <w:rsid w:val="007E6202"/>
    <w:rsid w:val="007E6AFF"/>
    <w:rsid w:val="007E7E19"/>
    <w:rsid w:val="007F0110"/>
    <w:rsid w:val="007F2BFB"/>
    <w:rsid w:val="007F31E6"/>
    <w:rsid w:val="007F3AD7"/>
    <w:rsid w:val="007F3F18"/>
    <w:rsid w:val="007F51C9"/>
    <w:rsid w:val="007F520D"/>
    <w:rsid w:val="007F6649"/>
    <w:rsid w:val="007F6855"/>
    <w:rsid w:val="007F7D73"/>
    <w:rsid w:val="008009BC"/>
    <w:rsid w:val="00801E9A"/>
    <w:rsid w:val="00802F8B"/>
    <w:rsid w:val="0080311C"/>
    <w:rsid w:val="00803384"/>
    <w:rsid w:val="008034D6"/>
    <w:rsid w:val="00804357"/>
    <w:rsid w:val="00804BAC"/>
    <w:rsid w:val="00804CAA"/>
    <w:rsid w:val="008056CA"/>
    <w:rsid w:val="00805ADA"/>
    <w:rsid w:val="00805CE9"/>
    <w:rsid w:val="0080611C"/>
    <w:rsid w:val="00806A58"/>
    <w:rsid w:val="00807309"/>
    <w:rsid w:val="0081037A"/>
    <w:rsid w:val="0081138A"/>
    <w:rsid w:val="0081140E"/>
    <w:rsid w:val="0081164E"/>
    <w:rsid w:val="00812033"/>
    <w:rsid w:val="00812305"/>
    <w:rsid w:val="008124D6"/>
    <w:rsid w:val="00813462"/>
    <w:rsid w:val="008145A7"/>
    <w:rsid w:val="00815099"/>
    <w:rsid w:val="00815BB1"/>
    <w:rsid w:val="008166CD"/>
    <w:rsid w:val="00816F19"/>
    <w:rsid w:val="008172ED"/>
    <w:rsid w:val="00817364"/>
    <w:rsid w:val="0081767F"/>
    <w:rsid w:val="00817BB9"/>
    <w:rsid w:val="00817DFF"/>
    <w:rsid w:val="00817F05"/>
    <w:rsid w:val="00820037"/>
    <w:rsid w:val="0082047D"/>
    <w:rsid w:val="00820494"/>
    <w:rsid w:val="008215D3"/>
    <w:rsid w:val="00821F31"/>
    <w:rsid w:val="00822166"/>
    <w:rsid w:val="0082299A"/>
    <w:rsid w:val="008229D0"/>
    <w:rsid w:val="00822BA8"/>
    <w:rsid w:val="00822FD4"/>
    <w:rsid w:val="00823492"/>
    <w:rsid w:val="00823BAF"/>
    <w:rsid w:val="00823C34"/>
    <w:rsid w:val="00823E82"/>
    <w:rsid w:val="00823F4F"/>
    <w:rsid w:val="008240B7"/>
    <w:rsid w:val="00824787"/>
    <w:rsid w:val="00825A29"/>
    <w:rsid w:val="00825C93"/>
    <w:rsid w:val="008265EB"/>
    <w:rsid w:val="00826A51"/>
    <w:rsid w:val="00827EF9"/>
    <w:rsid w:val="00827FC2"/>
    <w:rsid w:val="008320C4"/>
    <w:rsid w:val="00832D2C"/>
    <w:rsid w:val="00833E2D"/>
    <w:rsid w:val="00836E3F"/>
    <w:rsid w:val="008372EF"/>
    <w:rsid w:val="008376E1"/>
    <w:rsid w:val="00840AF2"/>
    <w:rsid w:val="00840F29"/>
    <w:rsid w:val="00841223"/>
    <w:rsid w:val="00841BEE"/>
    <w:rsid w:val="008422CC"/>
    <w:rsid w:val="008425BC"/>
    <w:rsid w:val="008438A1"/>
    <w:rsid w:val="0084398D"/>
    <w:rsid w:val="00844197"/>
    <w:rsid w:val="00844484"/>
    <w:rsid w:val="0084500B"/>
    <w:rsid w:val="00845694"/>
    <w:rsid w:val="008456D9"/>
    <w:rsid w:val="00845D22"/>
    <w:rsid w:val="00846125"/>
    <w:rsid w:val="00846149"/>
    <w:rsid w:val="008465E3"/>
    <w:rsid w:val="00846FC3"/>
    <w:rsid w:val="00847412"/>
    <w:rsid w:val="008478F5"/>
    <w:rsid w:val="0085123A"/>
    <w:rsid w:val="00851F99"/>
    <w:rsid w:val="00852DAA"/>
    <w:rsid w:val="0085352D"/>
    <w:rsid w:val="00853E60"/>
    <w:rsid w:val="0085404C"/>
    <w:rsid w:val="00855526"/>
    <w:rsid w:val="00857D37"/>
    <w:rsid w:val="00860448"/>
    <w:rsid w:val="00860678"/>
    <w:rsid w:val="0086150A"/>
    <w:rsid w:val="00862C06"/>
    <w:rsid w:val="008632C4"/>
    <w:rsid w:val="00864765"/>
    <w:rsid w:val="00864EFD"/>
    <w:rsid w:val="00865494"/>
    <w:rsid w:val="008659D9"/>
    <w:rsid w:val="00865BBF"/>
    <w:rsid w:val="0086604F"/>
    <w:rsid w:val="008663D7"/>
    <w:rsid w:val="0086682F"/>
    <w:rsid w:val="00866CA6"/>
    <w:rsid w:val="00866EF9"/>
    <w:rsid w:val="00870972"/>
    <w:rsid w:val="00870BCE"/>
    <w:rsid w:val="00872309"/>
    <w:rsid w:val="008724F6"/>
    <w:rsid w:val="008727A9"/>
    <w:rsid w:val="00873D36"/>
    <w:rsid w:val="008748DD"/>
    <w:rsid w:val="008749EC"/>
    <w:rsid w:val="0087504E"/>
    <w:rsid w:val="008757EF"/>
    <w:rsid w:val="008765F2"/>
    <w:rsid w:val="00876B78"/>
    <w:rsid w:val="00876D77"/>
    <w:rsid w:val="00877EFE"/>
    <w:rsid w:val="00880EA5"/>
    <w:rsid w:val="00880F40"/>
    <w:rsid w:val="0088226A"/>
    <w:rsid w:val="008823DC"/>
    <w:rsid w:val="008829D3"/>
    <w:rsid w:val="00883813"/>
    <w:rsid w:val="00883FAE"/>
    <w:rsid w:val="00884265"/>
    <w:rsid w:val="00884334"/>
    <w:rsid w:val="008851D3"/>
    <w:rsid w:val="0088548A"/>
    <w:rsid w:val="008854C9"/>
    <w:rsid w:val="00885657"/>
    <w:rsid w:val="00885697"/>
    <w:rsid w:val="008859BF"/>
    <w:rsid w:val="00885BFC"/>
    <w:rsid w:val="0088636B"/>
    <w:rsid w:val="0088669C"/>
    <w:rsid w:val="00887E25"/>
    <w:rsid w:val="0089050E"/>
    <w:rsid w:val="00890B8E"/>
    <w:rsid w:val="008924E6"/>
    <w:rsid w:val="0089274C"/>
    <w:rsid w:val="00893E2C"/>
    <w:rsid w:val="00896190"/>
    <w:rsid w:val="008968EF"/>
    <w:rsid w:val="008972F8"/>
    <w:rsid w:val="008A0100"/>
    <w:rsid w:val="008A0FF9"/>
    <w:rsid w:val="008A196F"/>
    <w:rsid w:val="008A2202"/>
    <w:rsid w:val="008A24B5"/>
    <w:rsid w:val="008A263B"/>
    <w:rsid w:val="008A3DE5"/>
    <w:rsid w:val="008A5355"/>
    <w:rsid w:val="008A5413"/>
    <w:rsid w:val="008A6B8E"/>
    <w:rsid w:val="008A6EFF"/>
    <w:rsid w:val="008B0469"/>
    <w:rsid w:val="008B153D"/>
    <w:rsid w:val="008B2565"/>
    <w:rsid w:val="008B36B3"/>
    <w:rsid w:val="008B4E66"/>
    <w:rsid w:val="008B5700"/>
    <w:rsid w:val="008B5941"/>
    <w:rsid w:val="008B5947"/>
    <w:rsid w:val="008B6124"/>
    <w:rsid w:val="008B62E0"/>
    <w:rsid w:val="008B6519"/>
    <w:rsid w:val="008B6CA7"/>
    <w:rsid w:val="008B73C3"/>
    <w:rsid w:val="008B75D1"/>
    <w:rsid w:val="008B781F"/>
    <w:rsid w:val="008C0301"/>
    <w:rsid w:val="008C1E56"/>
    <w:rsid w:val="008C1ED7"/>
    <w:rsid w:val="008C2A9F"/>
    <w:rsid w:val="008C2C6F"/>
    <w:rsid w:val="008C38FA"/>
    <w:rsid w:val="008C44E6"/>
    <w:rsid w:val="008C518B"/>
    <w:rsid w:val="008C66F0"/>
    <w:rsid w:val="008C6D5F"/>
    <w:rsid w:val="008D0824"/>
    <w:rsid w:val="008D0EA1"/>
    <w:rsid w:val="008D1F2F"/>
    <w:rsid w:val="008D27FC"/>
    <w:rsid w:val="008D359C"/>
    <w:rsid w:val="008D3668"/>
    <w:rsid w:val="008D3DC7"/>
    <w:rsid w:val="008D49E4"/>
    <w:rsid w:val="008D49E8"/>
    <w:rsid w:val="008D4EBB"/>
    <w:rsid w:val="008D6424"/>
    <w:rsid w:val="008E0423"/>
    <w:rsid w:val="008E0CFA"/>
    <w:rsid w:val="008E1009"/>
    <w:rsid w:val="008E135B"/>
    <w:rsid w:val="008E1B86"/>
    <w:rsid w:val="008E23D7"/>
    <w:rsid w:val="008E2DEF"/>
    <w:rsid w:val="008E51AB"/>
    <w:rsid w:val="008E53F0"/>
    <w:rsid w:val="008E68E5"/>
    <w:rsid w:val="008E6A95"/>
    <w:rsid w:val="008E702B"/>
    <w:rsid w:val="008E73ED"/>
    <w:rsid w:val="008E7DE5"/>
    <w:rsid w:val="008F030B"/>
    <w:rsid w:val="008F1462"/>
    <w:rsid w:val="008F1FEA"/>
    <w:rsid w:val="008F209E"/>
    <w:rsid w:val="008F2246"/>
    <w:rsid w:val="008F3069"/>
    <w:rsid w:val="008F3681"/>
    <w:rsid w:val="008F5124"/>
    <w:rsid w:val="008F543E"/>
    <w:rsid w:val="008F585B"/>
    <w:rsid w:val="008F5F92"/>
    <w:rsid w:val="008F65A9"/>
    <w:rsid w:val="009009BC"/>
    <w:rsid w:val="00900E66"/>
    <w:rsid w:val="00901A95"/>
    <w:rsid w:val="00902361"/>
    <w:rsid w:val="009029E9"/>
    <w:rsid w:val="00902EEC"/>
    <w:rsid w:val="009038DC"/>
    <w:rsid w:val="00903D14"/>
    <w:rsid w:val="00903E04"/>
    <w:rsid w:val="00904920"/>
    <w:rsid w:val="00906109"/>
    <w:rsid w:val="009065CD"/>
    <w:rsid w:val="00907601"/>
    <w:rsid w:val="009076FF"/>
    <w:rsid w:val="00911200"/>
    <w:rsid w:val="00912070"/>
    <w:rsid w:val="009138D8"/>
    <w:rsid w:val="0091484A"/>
    <w:rsid w:val="00914C88"/>
    <w:rsid w:val="00914E98"/>
    <w:rsid w:val="009161FD"/>
    <w:rsid w:val="009168DC"/>
    <w:rsid w:val="00916EE1"/>
    <w:rsid w:val="00917256"/>
    <w:rsid w:val="009173A4"/>
    <w:rsid w:val="00917AC6"/>
    <w:rsid w:val="00917CE2"/>
    <w:rsid w:val="00917D76"/>
    <w:rsid w:val="009203F9"/>
    <w:rsid w:val="009208C8"/>
    <w:rsid w:val="009208F9"/>
    <w:rsid w:val="00920AF6"/>
    <w:rsid w:val="00920BB9"/>
    <w:rsid w:val="0092124D"/>
    <w:rsid w:val="00921A30"/>
    <w:rsid w:val="0092253F"/>
    <w:rsid w:val="00922805"/>
    <w:rsid w:val="0092400D"/>
    <w:rsid w:val="00924CA1"/>
    <w:rsid w:val="00925BF5"/>
    <w:rsid w:val="00926326"/>
    <w:rsid w:val="009268D6"/>
    <w:rsid w:val="0092751D"/>
    <w:rsid w:val="0093105D"/>
    <w:rsid w:val="009316CA"/>
    <w:rsid w:val="00932132"/>
    <w:rsid w:val="009322A9"/>
    <w:rsid w:val="0093287A"/>
    <w:rsid w:val="009328E0"/>
    <w:rsid w:val="00932CFF"/>
    <w:rsid w:val="00933841"/>
    <w:rsid w:val="00933888"/>
    <w:rsid w:val="00933CDF"/>
    <w:rsid w:val="00936246"/>
    <w:rsid w:val="0093651C"/>
    <w:rsid w:val="0093691E"/>
    <w:rsid w:val="00936B87"/>
    <w:rsid w:val="00937227"/>
    <w:rsid w:val="00937A7A"/>
    <w:rsid w:val="00937AC4"/>
    <w:rsid w:val="009406D4"/>
    <w:rsid w:val="00940ACF"/>
    <w:rsid w:val="00941825"/>
    <w:rsid w:val="0094191E"/>
    <w:rsid w:val="00941DE9"/>
    <w:rsid w:val="009421FD"/>
    <w:rsid w:val="00942909"/>
    <w:rsid w:val="009437AC"/>
    <w:rsid w:val="009457A5"/>
    <w:rsid w:val="0094585B"/>
    <w:rsid w:val="00945BB4"/>
    <w:rsid w:val="00945DCF"/>
    <w:rsid w:val="009461C4"/>
    <w:rsid w:val="009465D4"/>
    <w:rsid w:val="00947489"/>
    <w:rsid w:val="00947691"/>
    <w:rsid w:val="0094795D"/>
    <w:rsid w:val="009501B3"/>
    <w:rsid w:val="00950A5F"/>
    <w:rsid w:val="0095104B"/>
    <w:rsid w:val="00951DCF"/>
    <w:rsid w:val="00952263"/>
    <w:rsid w:val="00952300"/>
    <w:rsid w:val="0095279D"/>
    <w:rsid w:val="0095290A"/>
    <w:rsid w:val="00953990"/>
    <w:rsid w:val="00953FF3"/>
    <w:rsid w:val="00954A1A"/>
    <w:rsid w:val="00954FA0"/>
    <w:rsid w:val="00954FBE"/>
    <w:rsid w:val="00955004"/>
    <w:rsid w:val="00955937"/>
    <w:rsid w:val="0096018E"/>
    <w:rsid w:val="009610BB"/>
    <w:rsid w:val="00961352"/>
    <w:rsid w:val="009622D4"/>
    <w:rsid w:val="00963497"/>
    <w:rsid w:val="00963BC1"/>
    <w:rsid w:val="009644A8"/>
    <w:rsid w:val="00965244"/>
    <w:rsid w:val="00965676"/>
    <w:rsid w:val="0096697C"/>
    <w:rsid w:val="009673B7"/>
    <w:rsid w:val="00970AD9"/>
    <w:rsid w:val="00972DBC"/>
    <w:rsid w:val="00973A1E"/>
    <w:rsid w:val="00974056"/>
    <w:rsid w:val="009748E9"/>
    <w:rsid w:val="00975A2D"/>
    <w:rsid w:val="00980424"/>
    <w:rsid w:val="009807DD"/>
    <w:rsid w:val="00981636"/>
    <w:rsid w:val="00981AA0"/>
    <w:rsid w:val="009821CC"/>
    <w:rsid w:val="00983B44"/>
    <w:rsid w:val="00983E40"/>
    <w:rsid w:val="00984496"/>
    <w:rsid w:val="009844B6"/>
    <w:rsid w:val="00984BEF"/>
    <w:rsid w:val="009856CA"/>
    <w:rsid w:val="00985B9D"/>
    <w:rsid w:val="00985F08"/>
    <w:rsid w:val="00986334"/>
    <w:rsid w:val="00987142"/>
    <w:rsid w:val="009871AD"/>
    <w:rsid w:val="00987A05"/>
    <w:rsid w:val="009903B7"/>
    <w:rsid w:val="00990C16"/>
    <w:rsid w:val="009913A0"/>
    <w:rsid w:val="009913E8"/>
    <w:rsid w:val="009929B5"/>
    <w:rsid w:val="0099374F"/>
    <w:rsid w:val="009938E1"/>
    <w:rsid w:val="009940F4"/>
    <w:rsid w:val="009942A6"/>
    <w:rsid w:val="009943DC"/>
    <w:rsid w:val="00994616"/>
    <w:rsid w:val="00995713"/>
    <w:rsid w:val="00996491"/>
    <w:rsid w:val="009A05DC"/>
    <w:rsid w:val="009A0DF3"/>
    <w:rsid w:val="009A2860"/>
    <w:rsid w:val="009A3048"/>
    <w:rsid w:val="009A3186"/>
    <w:rsid w:val="009A4337"/>
    <w:rsid w:val="009A4558"/>
    <w:rsid w:val="009A4A95"/>
    <w:rsid w:val="009A50DD"/>
    <w:rsid w:val="009A5300"/>
    <w:rsid w:val="009A62C1"/>
    <w:rsid w:val="009A7096"/>
    <w:rsid w:val="009A7743"/>
    <w:rsid w:val="009B0997"/>
    <w:rsid w:val="009B0C24"/>
    <w:rsid w:val="009B1F87"/>
    <w:rsid w:val="009B349E"/>
    <w:rsid w:val="009B3F88"/>
    <w:rsid w:val="009B40B9"/>
    <w:rsid w:val="009B49AC"/>
    <w:rsid w:val="009B4BD3"/>
    <w:rsid w:val="009B568A"/>
    <w:rsid w:val="009B61D0"/>
    <w:rsid w:val="009B6445"/>
    <w:rsid w:val="009B6717"/>
    <w:rsid w:val="009C1157"/>
    <w:rsid w:val="009C138D"/>
    <w:rsid w:val="009C1C3A"/>
    <w:rsid w:val="009C2AC8"/>
    <w:rsid w:val="009C2E6C"/>
    <w:rsid w:val="009C3099"/>
    <w:rsid w:val="009C72D5"/>
    <w:rsid w:val="009C7F65"/>
    <w:rsid w:val="009D0078"/>
    <w:rsid w:val="009D12C1"/>
    <w:rsid w:val="009D1AF4"/>
    <w:rsid w:val="009D1F12"/>
    <w:rsid w:val="009D21EF"/>
    <w:rsid w:val="009D2865"/>
    <w:rsid w:val="009D296F"/>
    <w:rsid w:val="009D2D20"/>
    <w:rsid w:val="009D2FE8"/>
    <w:rsid w:val="009D333A"/>
    <w:rsid w:val="009D374E"/>
    <w:rsid w:val="009D3D86"/>
    <w:rsid w:val="009D4D51"/>
    <w:rsid w:val="009D4E3E"/>
    <w:rsid w:val="009D5A5B"/>
    <w:rsid w:val="009D615F"/>
    <w:rsid w:val="009D66A3"/>
    <w:rsid w:val="009D7A9E"/>
    <w:rsid w:val="009E13F3"/>
    <w:rsid w:val="009E2DF4"/>
    <w:rsid w:val="009E3C7F"/>
    <w:rsid w:val="009E3FC1"/>
    <w:rsid w:val="009E44F8"/>
    <w:rsid w:val="009E48BD"/>
    <w:rsid w:val="009E4F6F"/>
    <w:rsid w:val="009E5C80"/>
    <w:rsid w:val="009E5F0B"/>
    <w:rsid w:val="009E6063"/>
    <w:rsid w:val="009E6444"/>
    <w:rsid w:val="009E73C6"/>
    <w:rsid w:val="009E7694"/>
    <w:rsid w:val="009F1363"/>
    <w:rsid w:val="009F34DF"/>
    <w:rsid w:val="009F36FA"/>
    <w:rsid w:val="009F43DD"/>
    <w:rsid w:val="009F6EE3"/>
    <w:rsid w:val="009F763A"/>
    <w:rsid w:val="009F772C"/>
    <w:rsid w:val="00A008A2"/>
    <w:rsid w:val="00A0120A"/>
    <w:rsid w:val="00A015BF"/>
    <w:rsid w:val="00A01C8D"/>
    <w:rsid w:val="00A02BC6"/>
    <w:rsid w:val="00A02CC8"/>
    <w:rsid w:val="00A02D0E"/>
    <w:rsid w:val="00A03379"/>
    <w:rsid w:val="00A0518A"/>
    <w:rsid w:val="00A0582A"/>
    <w:rsid w:val="00A066EA"/>
    <w:rsid w:val="00A10946"/>
    <w:rsid w:val="00A10A85"/>
    <w:rsid w:val="00A1487D"/>
    <w:rsid w:val="00A14F96"/>
    <w:rsid w:val="00A15224"/>
    <w:rsid w:val="00A1635B"/>
    <w:rsid w:val="00A163EB"/>
    <w:rsid w:val="00A179BA"/>
    <w:rsid w:val="00A20DF5"/>
    <w:rsid w:val="00A218AB"/>
    <w:rsid w:val="00A2191A"/>
    <w:rsid w:val="00A21C32"/>
    <w:rsid w:val="00A21CFA"/>
    <w:rsid w:val="00A220DE"/>
    <w:rsid w:val="00A223BA"/>
    <w:rsid w:val="00A22644"/>
    <w:rsid w:val="00A232A0"/>
    <w:rsid w:val="00A250A2"/>
    <w:rsid w:val="00A25C80"/>
    <w:rsid w:val="00A25EEE"/>
    <w:rsid w:val="00A26569"/>
    <w:rsid w:val="00A26AFD"/>
    <w:rsid w:val="00A3093A"/>
    <w:rsid w:val="00A30AFA"/>
    <w:rsid w:val="00A30CEB"/>
    <w:rsid w:val="00A31C1F"/>
    <w:rsid w:val="00A31FE5"/>
    <w:rsid w:val="00A32FBC"/>
    <w:rsid w:val="00A33E63"/>
    <w:rsid w:val="00A35449"/>
    <w:rsid w:val="00A35601"/>
    <w:rsid w:val="00A35DD7"/>
    <w:rsid w:val="00A360DF"/>
    <w:rsid w:val="00A36533"/>
    <w:rsid w:val="00A36609"/>
    <w:rsid w:val="00A40030"/>
    <w:rsid w:val="00A40A13"/>
    <w:rsid w:val="00A423D8"/>
    <w:rsid w:val="00A42407"/>
    <w:rsid w:val="00A42932"/>
    <w:rsid w:val="00A43D40"/>
    <w:rsid w:val="00A4409C"/>
    <w:rsid w:val="00A44620"/>
    <w:rsid w:val="00A46077"/>
    <w:rsid w:val="00A4616C"/>
    <w:rsid w:val="00A472F1"/>
    <w:rsid w:val="00A476C2"/>
    <w:rsid w:val="00A502F8"/>
    <w:rsid w:val="00A507EC"/>
    <w:rsid w:val="00A50D0C"/>
    <w:rsid w:val="00A50ED3"/>
    <w:rsid w:val="00A51095"/>
    <w:rsid w:val="00A5133B"/>
    <w:rsid w:val="00A515DA"/>
    <w:rsid w:val="00A524BD"/>
    <w:rsid w:val="00A52911"/>
    <w:rsid w:val="00A52FD0"/>
    <w:rsid w:val="00A54496"/>
    <w:rsid w:val="00A550A0"/>
    <w:rsid w:val="00A554C3"/>
    <w:rsid w:val="00A569A6"/>
    <w:rsid w:val="00A56CEA"/>
    <w:rsid w:val="00A57BEF"/>
    <w:rsid w:val="00A57FDF"/>
    <w:rsid w:val="00A60479"/>
    <w:rsid w:val="00A608DF"/>
    <w:rsid w:val="00A61825"/>
    <w:rsid w:val="00A63050"/>
    <w:rsid w:val="00A63E7F"/>
    <w:rsid w:val="00A6579C"/>
    <w:rsid w:val="00A657DC"/>
    <w:rsid w:val="00A65B1A"/>
    <w:rsid w:val="00A66DAE"/>
    <w:rsid w:val="00A67215"/>
    <w:rsid w:val="00A70B19"/>
    <w:rsid w:val="00A70D37"/>
    <w:rsid w:val="00A72395"/>
    <w:rsid w:val="00A731B2"/>
    <w:rsid w:val="00A74522"/>
    <w:rsid w:val="00A74CCB"/>
    <w:rsid w:val="00A74DF5"/>
    <w:rsid w:val="00A75340"/>
    <w:rsid w:val="00A75FB8"/>
    <w:rsid w:val="00A768AE"/>
    <w:rsid w:val="00A76EDF"/>
    <w:rsid w:val="00A77373"/>
    <w:rsid w:val="00A80B90"/>
    <w:rsid w:val="00A80D32"/>
    <w:rsid w:val="00A827AE"/>
    <w:rsid w:val="00A82BA6"/>
    <w:rsid w:val="00A83EB6"/>
    <w:rsid w:val="00A845EC"/>
    <w:rsid w:val="00A84ACE"/>
    <w:rsid w:val="00A85841"/>
    <w:rsid w:val="00A85CBD"/>
    <w:rsid w:val="00A85E2B"/>
    <w:rsid w:val="00A86185"/>
    <w:rsid w:val="00A8676E"/>
    <w:rsid w:val="00A8694B"/>
    <w:rsid w:val="00A86D77"/>
    <w:rsid w:val="00A87D0A"/>
    <w:rsid w:val="00A90119"/>
    <w:rsid w:val="00A90534"/>
    <w:rsid w:val="00A9068A"/>
    <w:rsid w:val="00A9070F"/>
    <w:rsid w:val="00A90D2A"/>
    <w:rsid w:val="00A90E92"/>
    <w:rsid w:val="00A91D6B"/>
    <w:rsid w:val="00A9316B"/>
    <w:rsid w:val="00A93702"/>
    <w:rsid w:val="00A93DDA"/>
    <w:rsid w:val="00A93E97"/>
    <w:rsid w:val="00A9497F"/>
    <w:rsid w:val="00A9536D"/>
    <w:rsid w:val="00A95638"/>
    <w:rsid w:val="00A95B15"/>
    <w:rsid w:val="00A95E1C"/>
    <w:rsid w:val="00A961BB"/>
    <w:rsid w:val="00AA07BA"/>
    <w:rsid w:val="00AA191D"/>
    <w:rsid w:val="00AA1AE2"/>
    <w:rsid w:val="00AA1CA9"/>
    <w:rsid w:val="00AA29DE"/>
    <w:rsid w:val="00AA4365"/>
    <w:rsid w:val="00AA5539"/>
    <w:rsid w:val="00AA5A20"/>
    <w:rsid w:val="00AA74EC"/>
    <w:rsid w:val="00AA783A"/>
    <w:rsid w:val="00AB0BFF"/>
    <w:rsid w:val="00AB0E84"/>
    <w:rsid w:val="00AB18E8"/>
    <w:rsid w:val="00AB212B"/>
    <w:rsid w:val="00AB241D"/>
    <w:rsid w:val="00AB3A8D"/>
    <w:rsid w:val="00AB57FA"/>
    <w:rsid w:val="00AB5C9A"/>
    <w:rsid w:val="00AB5CB7"/>
    <w:rsid w:val="00AB6419"/>
    <w:rsid w:val="00AB792B"/>
    <w:rsid w:val="00AB7ADC"/>
    <w:rsid w:val="00AB7AFB"/>
    <w:rsid w:val="00AB7D9C"/>
    <w:rsid w:val="00AC0F2C"/>
    <w:rsid w:val="00AC147F"/>
    <w:rsid w:val="00AC1DAE"/>
    <w:rsid w:val="00AC1E41"/>
    <w:rsid w:val="00AC4643"/>
    <w:rsid w:val="00AC4BF0"/>
    <w:rsid w:val="00AC4CA9"/>
    <w:rsid w:val="00AC4D9D"/>
    <w:rsid w:val="00AC5DC1"/>
    <w:rsid w:val="00AC6173"/>
    <w:rsid w:val="00AC7143"/>
    <w:rsid w:val="00AC7E07"/>
    <w:rsid w:val="00AD094E"/>
    <w:rsid w:val="00AD188F"/>
    <w:rsid w:val="00AD1EEE"/>
    <w:rsid w:val="00AD251C"/>
    <w:rsid w:val="00AD30E1"/>
    <w:rsid w:val="00AD389E"/>
    <w:rsid w:val="00AD3D20"/>
    <w:rsid w:val="00AD4519"/>
    <w:rsid w:val="00AD4AE9"/>
    <w:rsid w:val="00AD4D7F"/>
    <w:rsid w:val="00AD5B84"/>
    <w:rsid w:val="00AD651A"/>
    <w:rsid w:val="00AD73F7"/>
    <w:rsid w:val="00AE028B"/>
    <w:rsid w:val="00AE03C9"/>
    <w:rsid w:val="00AE03E4"/>
    <w:rsid w:val="00AE0E5E"/>
    <w:rsid w:val="00AE1436"/>
    <w:rsid w:val="00AE1741"/>
    <w:rsid w:val="00AE374F"/>
    <w:rsid w:val="00AE377A"/>
    <w:rsid w:val="00AE3B77"/>
    <w:rsid w:val="00AE3E69"/>
    <w:rsid w:val="00AE4086"/>
    <w:rsid w:val="00AE47B5"/>
    <w:rsid w:val="00AF00BC"/>
    <w:rsid w:val="00AF0558"/>
    <w:rsid w:val="00AF0E7F"/>
    <w:rsid w:val="00AF1667"/>
    <w:rsid w:val="00AF2465"/>
    <w:rsid w:val="00AF3A9F"/>
    <w:rsid w:val="00AF3AF4"/>
    <w:rsid w:val="00AF4A4C"/>
    <w:rsid w:val="00AF4EFF"/>
    <w:rsid w:val="00B00267"/>
    <w:rsid w:val="00B013E7"/>
    <w:rsid w:val="00B017E7"/>
    <w:rsid w:val="00B041E2"/>
    <w:rsid w:val="00B04B18"/>
    <w:rsid w:val="00B04D96"/>
    <w:rsid w:val="00B05FCE"/>
    <w:rsid w:val="00B0640E"/>
    <w:rsid w:val="00B06DD4"/>
    <w:rsid w:val="00B07709"/>
    <w:rsid w:val="00B07ED0"/>
    <w:rsid w:val="00B07F5F"/>
    <w:rsid w:val="00B10475"/>
    <w:rsid w:val="00B108D6"/>
    <w:rsid w:val="00B11627"/>
    <w:rsid w:val="00B138F0"/>
    <w:rsid w:val="00B139E9"/>
    <w:rsid w:val="00B13C8A"/>
    <w:rsid w:val="00B14916"/>
    <w:rsid w:val="00B15423"/>
    <w:rsid w:val="00B155EE"/>
    <w:rsid w:val="00B168FC"/>
    <w:rsid w:val="00B16F35"/>
    <w:rsid w:val="00B17A6F"/>
    <w:rsid w:val="00B17EEB"/>
    <w:rsid w:val="00B2124B"/>
    <w:rsid w:val="00B220DD"/>
    <w:rsid w:val="00B231F3"/>
    <w:rsid w:val="00B23E98"/>
    <w:rsid w:val="00B2418C"/>
    <w:rsid w:val="00B2427C"/>
    <w:rsid w:val="00B24848"/>
    <w:rsid w:val="00B24A80"/>
    <w:rsid w:val="00B25888"/>
    <w:rsid w:val="00B25A47"/>
    <w:rsid w:val="00B25B55"/>
    <w:rsid w:val="00B25B8C"/>
    <w:rsid w:val="00B262C6"/>
    <w:rsid w:val="00B26F97"/>
    <w:rsid w:val="00B273B1"/>
    <w:rsid w:val="00B27470"/>
    <w:rsid w:val="00B27577"/>
    <w:rsid w:val="00B27775"/>
    <w:rsid w:val="00B309E0"/>
    <w:rsid w:val="00B311B4"/>
    <w:rsid w:val="00B31941"/>
    <w:rsid w:val="00B33419"/>
    <w:rsid w:val="00B3387F"/>
    <w:rsid w:val="00B3437B"/>
    <w:rsid w:val="00B343FA"/>
    <w:rsid w:val="00B35D63"/>
    <w:rsid w:val="00B4093C"/>
    <w:rsid w:val="00B409B8"/>
    <w:rsid w:val="00B40B4F"/>
    <w:rsid w:val="00B41AEF"/>
    <w:rsid w:val="00B423C1"/>
    <w:rsid w:val="00B43F48"/>
    <w:rsid w:val="00B45188"/>
    <w:rsid w:val="00B452F2"/>
    <w:rsid w:val="00B46B44"/>
    <w:rsid w:val="00B47DFD"/>
    <w:rsid w:val="00B51A07"/>
    <w:rsid w:val="00B52021"/>
    <w:rsid w:val="00B52257"/>
    <w:rsid w:val="00B55058"/>
    <w:rsid w:val="00B55F40"/>
    <w:rsid w:val="00B56513"/>
    <w:rsid w:val="00B566FE"/>
    <w:rsid w:val="00B56DC4"/>
    <w:rsid w:val="00B57440"/>
    <w:rsid w:val="00B617F7"/>
    <w:rsid w:val="00B61CE4"/>
    <w:rsid w:val="00B63276"/>
    <w:rsid w:val="00B6380B"/>
    <w:rsid w:val="00B63813"/>
    <w:rsid w:val="00B63856"/>
    <w:rsid w:val="00B63D7D"/>
    <w:rsid w:val="00B640A4"/>
    <w:rsid w:val="00B64210"/>
    <w:rsid w:val="00B64321"/>
    <w:rsid w:val="00B64B70"/>
    <w:rsid w:val="00B67339"/>
    <w:rsid w:val="00B67574"/>
    <w:rsid w:val="00B6764A"/>
    <w:rsid w:val="00B67EE9"/>
    <w:rsid w:val="00B67F56"/>
    <w:rsid w:val="00B700C8"/>
    <w:rsid w:val="00B70993"/>
    <w:rsid w:val="00B70C3F"/>
    <w:rsid w:val="00B716F0"/>
    <w:rsid w:val="00B71B6C"/>
    <w:rsid w:val="00B7238F"/>
    <w:rsid w:val="00B723E3"/>
    <w:rsid w:val="00B72D2B"/>
    <w:rsid w:val="00B72E43"/>
    <w:rsid w:val="00B73E1B"/>
    <w:rsid w:val="00B74550"/>
    <w:rsid w:val="00B74864"/>
    <w:rsid w:val="00B75222"/>
    <w:rsid w:val="00B75452"/>
    <w:rsid w:val="00B75731"/>
    <w:rsid w:val="00B758C7"/>
    <w:rsid w:val="00B75B92"/>
    <w:rsid w:val="00B7711F"/>
    <w:rsid w:val="00B801AD"/>
    <w:rsid w:val="00B80904"/>
    <w:rsid w:val="00B80B7E"/>
    <w:rsid w:val="00B80BF8"/>
    <w:rsid w:val="00B8183A"/>
    <w:rsid w:val="00B81A15"/>
    <w:rsid w:val="00B81C50"/>
    <w:rsid w:val="00B81DCF"/>
    <w:rsid w:val="00B81F86"/>
    <w:rsid w:val="00B82276"/>
    <w:rsid w:val="00B83028"/>
    <w:rsid w:val="00B83243"/>
    <w:rsid w:val="00B83B0E"/>
    <w:rsid w:val="00B84555"/>
    <w:rsid w:val="00B854B5"/>
    <w:rsid w:val="00B85CA8"/>
    <w:rsid w:val="00B863FA"/>
    <w:rsid w:val="00B86B17"/>
    <w:rsid w:val="00B878A2"/>
    <w:rsid w:val="00B9025C"/>
    <w:rsid w:val="00B90890"/>
    <w:rsid w:val="00B92AB1"/>
    <w:rsid w:val="00B92DBA"/>
    <w:rsid w:val="00B93909"/>
    <w:rsid w:val="00B93AD5"/>
    <w:rsid w:val="00B93E8D"/>
    <w:rsid w:val="00B93FF6"/>
    <w:rsid w:val="00B94392"/>
    <w:rsid w:val="00B9519D"/>
    <w:rsid w:val="00B955F0"/>
    <w:rsid w:val="00B95A6E"/>
    <w:rsid w:val="00B9626A"/>
    <w:rsid w:val="00BA05A9"/>
    <w:rsid w:val="00BA0872"/>
    <w:rsid w:val="00BA0C87"/>
    <w:rsid w:val="00BA179E"/>
    <w:rsid w:val="00BA3243"/>
    <w:rsid w:val="00BA3B87"/>
    <w:rsid w:val="00BA4558"/>
    <w:rsid w:val="00BA4705"/>
    <w:rsid w:val="00BA4AA2"/>
    <w:rsid w:val="00BA4E21"/>
    <w:rsid w:val="00BA50F8"/>
    <w:rsid w:val="00BA5AA6"/>
    <w:rsid w:val="00BA6002"/>
    <w:rsid w:val="00BA60EB"/>
    <w:rsid w:val="00BA6225"/>
    <w:rsid w:val="00BA6D03"/>
    <w:rsid w:val="00BA7904"/>
    <w:rsid w:val="00BA7CF3"/>
    <w:rsid w:val="00BB252C"/>
    <w:rsid w:val="00BB276C"/>
    <w:rsid w:val="00BB2F72"/>
    <w:rsid w:val="00BB37D9"/>
    <w:rsid w:val="00BB385A"/>
    <w:rsid w:val="00BB3A33"/>
    <w:rsid w:val="00BB490E"/>
    <w:rsid w:val="00BB4BD8"/>
    <w:rsid w:val="00BB56C4"/>
    <w:rsid w:val="00BB572F"/>
    <w:rsid w:val="00BB623D"/>
    <w:rsid w:val="00BB7AD8"/>
    <w:rsid w:val="00BB7BD6"/>
    <w:rsid w:val="00BC03C4"/>
    <w:rsid w:val="00BC04A0"/>
    <w:rsid w:val="00BC0842"/>
    <w:rsid w:val="00BC0A44"/>
    <w:rsid w:val="00BC112E"/>
    <w:rsid w:val="00BC186A"/>
    <w:rsid w:val="00BC201C"/>
    <w:rsid w:val="00BC29BC"/>
    <w:rsid w:val="00BC33BD"/>
    <w:rsid w:val="00BC3A19"/>
    <w:rsid w:val="00BC3C03"/>
    <w:rsid w:val="00BC3F01"/>
    <w:rsid w:val="00BC4004"/>
    <w:rsid w:val="00BC4079"/>
    <w:rsid w:val="00BC4328"/>
    <w:rsid w:val="00BC721C"/>
    <w:rsid w:val="00BC73DC"/>
    <w:rsid w:val="00BC73E3"/>
    <w:rsid w:val="00BC7A82"/>
    <w:rsid w:val="00BC7B5F"/>
    <w:rsid w:val="00BD053D"/>
    <w:rsid w:val="00BD15C8"/>
    <w:rsid w:val="00BD1747"/>
    <w:rsid w:val="00BD1F9B"/>
    <w:rsid w:val="00BD2515"/>
    <w:rsid w:val="00BD2805"/>
    <w:rsid w:val="00BD461D"/>
    <w:rsid w:val="00BD4D90"/>
    <w:rsid w:val="00BD5247"/>
    <w:rsid w:val="00BD62C1"/>
    <w:rsid w:val="00BD6D27"/>
    <w:rsid w:val="00BD725D"/>
    <w:rsid w:val="00BD76FC"/>
    <w:rsid w:val="00BD79EB"/>
    <w:rsid w:val="00BE00C0"/>
    <w:rsid w:val="00BE0C82"/>
    <w:rsid w:val="00BE42F1"/>
    <w:rsid w:val="00BE4627"/>
    <w:rsid w:val="00BE4745"/>
    <w:rsid w:val="00BE569A"/>
    <w:rsid w:val="00BE6879"/>
    <w:rsid w:val="00BE7754"/>
    <w:rsid w:val="00BF06E9"/>
    <w:rsid w:val="00BF09AA"/>
    <w:rsid w:val="00BF0CC0"/>
    <w:rsid w:val="00BF0F6E"/>
    <w:rsid w:val="00BF1F92"/>
    <w:rsid w:val="00BF2B86"/>
    <w:rsid w:val="00BF4915"/>
    <w:rsid w:val="00BF5D54"/>
    <w:rsid w:val="00BF7D3C"/>
    <w:rsid w:val="00BF7EB3"/>
    <w:rsid w:val="00C00802"/>
    <w:rsid w:val="00C017D3"/>
    <w:rsid w:val="00C01D44"/>
    <w:rsid w:val="00C01F66"/>
    <w:rsid w:val="00C02BE2"/>
    <w:rsid w:val="00C03C12"/>
    <w:rsid w:val="00C048A6"/>
    <w:rsid w:val="00C04AF4"/>
    <w:rsid w:val="00C04B80"/>
    <w:rsid w:val="00C0564B"/>
    <w:rsid w:val="00C0584E"/>
    <w:rsid w:val="00C0596B"/>
    <w:rsid w:val="00C06A13"/>
    <w:rsid w:val="00C06BD5"/>
    <w:rsid w:val="00C075C2"/>
    <w:rsid w:val="00C076C8"/>
    <w:rsid w:val="00C07D05"/>
    <w:rsid w:val="00C10263"/>
    <w:rsid w:val="00C105DC"/>
    <w:rsid w:val="00C1073C"/>
    <w:rsid w:val="00C10884"/>
    <w:rsid w:val="00C10B48"/>
    <w:rsid w:val="00C11760"/>
    <w:rsid w:val="00C12B96"/>
    <w:rsid w:val="00C12E9C"/>
    <w:rsid w:val="00C13161"/>
    <w:rsid w:val="00C13DA3"/>
    <w:rsid w:val="00C141FA"/>
    <w:rsid w:val="00C1510C"/>
    <w:rsid w:val="00C15176"/>
    <w:rsid w:val="00C1572F"/>
    <w:rsid w:val="00C15B6B"/>
    <w:rsid w:val="00C15F27"/>
    <w:rsid w:val="00C15F40"/>
    <w:rsid w:val="00C17FF1"/>
    <w:rsid w:val="00C2105C"/>
    <w:rsid w:val="00C2185B"/>
    <w:rsid w:val="00C21913"/>
    <w:rsid w:val="00C21C0F"/>
    <w:rsid w:val="00C21D5E"/>
    <w:rsid w:val="00C22394"/>
    <w:rsid w:val="00C22C91"/>
    <w:rsid w:val="00C22D5B"/>
    <w:rsid w:val="00C230C5"/>
    <w:rsid w:val="00C23217"/>
    <w:rsid w:val="00C236C0"/>
    <w:rsid w:val="00C24DF5"/>
    <w:rsid w:val="00C251BA"/>
    <w:rsid w:val="00C25B29"/>
    <w:rsid w:val="00C25EE4"/>
    <w:rsid w:val="00C2765A"/>
    <w:rsid w:val="00C27B15"/>
    <w:rsid w:val="00C30BEF"/>
    <w:rsid w:val="00C3119B"/>
    <w:rsid w:val="00C31AB1"/>
    <w:rsid w:val="00C32586"/>
    <w:rsid w:val="00C33098"/>
    <w:rsid w:val="00C338AD"/>
    <w:rsid w:val="00C34BE0"/>
    <w:rsid w:val="00C34F76"/>
    <w:rsid w:val="00C35204"/>
    <w:rsid w:val="00C352D8"/>
    <w:rsid w:val="00C35F05"/>
    <w:rsid w:val="00C364BD"/>
    <w:rsid w:val="00C36B35"/>
    <w:rsid w:val="00C36D0B"/>
    <w:rsid w:val="00C41C3E"/>
    <w:rsid w:val="00C41C81"/>
    <w:rsid w:val="00C42209"/>
    <w:rsid w:val="00C4285E"/>
    <w:rsid w:val="00C42B32"/>
    <w:rsid w:val="00C42C84"/>
    <w:rsid w:val="00C42CB5"/>
    <w:rsid w:val="00C437AA"/>
    <w:rsid w:val="00C439C0"/>
    <w:rsid w:val="00C46EBC"/>
    <w:rsid w:val="00C471C5"/>
    <w:rsid w:val="00C47C35"/>
    <w:rsid w:val="00C47FF1"/>
    <w:rsid w:val="00C50CE5"/>
    <w:rsid w:val="00C50D2A"/>
    <w:rsid w:val="00C516A5"/>
    <w:rsid w:val="00C51746"/>
    <w:rsid w:val="00C517E3"/>
    <w:rsid w:val="00C51B6A"/>
    <w:rsid w:val="00C51D06"/>
    <w:rsid w:val="00C5262C"/>
    <w:rsid w:val="00C546BD"/>
    <w:rsid w:val="00C55586"/>
    <w:rsid w:val="00C55F40"/>
    <w:rsid w:val="00C5622E"/>
    <w:rsid w:val="00C56629"/>
    <w:rsid w:val="00C56E04"/>
    <w:rsid w:val="00C57440"/>
    <w:rsid w:val="00C6099E"/>
    <w:rsid w:val="00C617AD"/>
    <w:rsid w:val="00C6182E"/>
    <w:rsid w:val="00C61CDF"/>
    <w:rsid w:val="00C61D8A"/>
    <w:rsid w:val="00C6267A"/>
    <w:rsid w:val="00C6270F"/>
    <w:rsid w:val="00C62D9B"/>
    <w:rsid w:val="00C6345B"/>
    <w:rsid w:val="00C63A9A"/>
    <w:rsid w:val="00C6424E"/>
    <w:rsid w:val="00C6499E"/>
    <w:rsid w:val="00C656DA"/>
    <w:rsid w:val="00C65923"/>
    <w:rsid w:val="00C6663D"/>
    <w:rsid w:val="00C66EFA"/>
    <w:rsid w:val="00C66F3F"/>
    <w:rsid w:val="00C70C80"/>
    <w:rsid w:val="00C70F22"/>
    <w:rsid w:val="00C71829"/>
    <w:rsid w:val="00C71D26"/>
    <w:rsid w:val="00C720E2"/>
    <w:rsid w:val="00C72BE5"/>
    <w:rsid w:val="00C75206"/>
    <w:rsid w:val="00C7536F"/>
    <w:rsid w:val="00C75A8F"/>
    <w:rsid w:val="00C76B05"/>
    <w:rsid w:val="00C76CF3"/>
    <w:rsid w:val="00C76CF5"/>
    <w:rsid w:val="00C77361"/>
    <w:rsid w:val="00C77CDA"/>
    <w:rsid w:val="00C80045"/>
    <w:rsid w:val="00C80C5A"/>
    <w:rsid w:val="00C815A3"/>
    <w:rsid w:val="00C818D4"/>
    <w:rsid w:val="00C81CD7"/>
    <w:rsid w:val="00C81FE7"/>
    <w:rsid w:val="00C82BF7"/>
    <w:rsid w:val="00C82EB8"/>
    <w:rsid w:val="00C82F8A"/>
    <w:rsid w:val="00C843B5"/>
    <w:rsid w:val="00C84AB7"/>
    <w:rsid w:val="00C84AFD"/>
    <w:rsid w:val="00C84B34"/>
    <w:rsid w:val="00C8599D"/>
    <w:rsid w:val="00C862F5"/>
    <w:rsid w:val="00C8685E"/>
    <w:rsid w:val="00C86CAD"/>
    <w:rsid w:val="00C86EEC"/>
    <w:rsid w:val="00C90C1E"/>
    <w:rsid w:val="00C9190F"/>
    <w:rsid w:val="00C919F5"/>
    <w:rsid w:val="00C91A80"/>
    <w:rsid w:val="00C91FED"/>
    <w:rsid w:val="00C92B32"/>
    <w:rsid w:val="00C93FE3"/>
    <w:rsid w:val="00C9576F"/>
    <w:rsid w:val="00C975B8"/>
    <w:rsid w:val="00CA031B"/>
    <w:rsid w:val="00CA0525"/>
    <w:rsid w:val="00CA0C7F"/>
    <w:rsid w:val="00CA148B"/>
    <w:rsid w:val="00CA17E7"/>
    <w:rsid w:val="00CA225E"/>
    <w:rsid w:val="00CA2FE0"/>
    <w:rsid w:val="00CA3C31"/>
    <w:rsid w:val="00CA4409"/>
    <w:rsid w:val="00CA4CFA"/>
    <w:rsid w:val="00CA5003"/>
    <w:rsid w:val="00CA57C1"/>
    <w:rsid w:val="00CA6115"/>
    <w:rsid w:val="00CA684E"/>
    <w:rsid w:val="00CA7103"/>
    <w:rsid w:val="00CA7770"/>
    <w:rsid w:val="00CA7BD1"/>
    <w:rsid w:val="00CB01BD"/>
    <w:rsid w:val="00CB0AF1"/>
    <w:rsid w:val="00CB12F7"/>
    <w:rsid w:val="00CB2277"/>
    <w:rsid w:val="00CB2B52"/>
    <w:rsid w:val="00CB501A"/>
    <w:rsid w:val="00CB503A"/>
    <w:rsid w:val="00CB52E9"/>
    <w:rsid w:val="00CB576B"/>
    <w:rsid w:val="00CB5871"/>
    <w:rsid w:val="00CB5E1A"/>
    <w:rsid w:val="00CB607D"/>
    <w:rsid w:val="00CB6A52"/>
    <w:rsid w:val="00CB6E31"/>
    <w:rsid w:val="00CB6E9A"/>
    <w:rsid w:val="00CB746B"/>
    <w:rsid w:val="00CB767E"/>
    <w:rsid w:val="00CB7834"/>
    <w:rsid w:val="00CB78C3"/>
    <w:rsid w:val="00CC0715"/>
    <w:rsid w:val="00CC0811"/>
    <w:rsid w:val="00CC0A4C"/>
    <w:rsid w:val="00CC0EC3"/>
    <w:rsid w:val="00CC2CB2"/>
    <w:rsid w:val="00CC2D8D"/>
    <w:rsid w:val="00CC3301"/>
    <w:rsid w:val="00CC4371"/>
    <w:rsid w:val="00CC4737"/>
    <w:rsid w:val="00CC4F6E"/>
    <w:rsid w:val="00CC4FB8"/>
    <w:rsid w:val="00CC503D"/>
    <w:rsid w:val="00CC5A74"/>
    <w:rsid w:val="00CC5E68"/>
    <w:rsid w:val="00CC5FD6"/>
    <w:rsid w:val="00CC7648"/>
    <w:rsid w:val="00CC7A68"/>
    <w:rsid w:val="00CD0DCE"/>
    <w:rsid w:val="00CD1B2D"/>
    <w:rsid w:val="00CD224A"/>
    <w:rsid w:val="00CD28B4"/>
    <w:rsid w:val="00CD3264"/>
    <w:rsid w:val="00CD38F1"/>
    <w:rsid w:val="00CD3ECA"/>
    <w:rsid w:val="00CD4CE6"/>
    <w:rsid w:val="00CD68C1"/>
    <w:rsid w:val="00CD6D10"/>
    <w:rsid w:val="00CD6FA5"/>
    <w:rsid w:val="00CD7170"/>
    <w:rsid w:val="00CD736E"/>
    <w:rsid w:val="00CD7F1E"/>
    <w:rsid w:val="00CE02C4"/>
    <w:rsid w:val="00CE0CBA"/>
    <w:rsid w:val="00CE163A"/>
    <w:rsid w:val="00CE2B84"/>
    <w:rsid w:val="00CE2BD8"/>
    <w:rsid w:val="00CE4C1C"/>
    <w:rsid w:val="00CE4CCC"/>
    <w:rsid w:val="00CE7007"/>
    <w:rsid w:val="00CE76E9"/>
    <w:rsid w:val="00CF0382"/>
    <w:rsid w:val="00CF09C2"/>
    <w:rsid w:val="00CF1497"/>
    <w:rsid w:val="00CF2009"/>
    <w:rsid w:val="00CF249E"/>
    <w:rsid w:val="00CF256E"/>
    <w:rsid w:val="00CF2657"/>
    <w:rsid w:val="00CF26CB"/>
    <w:rsid w:val="00CF3D5F"/>
    <w:rsid w:val="00CF3E3D"/>
    <w:rsid w:val="00CF4D3E"/>
    <w:rsid w:val="00CF4E64"/>
    <w:rsid w:val="00CF524A"/>
    <w:rsid w:val="00CF531C"/>
    <w:rsid w:val="00CF5403"/>
    <w:rsid w:val="00CF5A49"/>
    <w:rsid w:val="00CF5EAE"/>
    <w:rsid w:val="00CF65F2"/>
    <w:rsid w:val="00CF6ACD"/>
    <w:rsid w:val="00CF6DE6"/>
    <w:rsid w:val="00CF75CD"/>
    <w:rsid w:val="00D00A83"/>
    <w:rsid w:val="00D0163C"/>
    <w:rsid w:val="00D01893"/>
    <w:rsid w:val="00D025A2"/>
    <w:rsid w:val="00D02854"/>
    <w:rsid w:val="00D02E3C"/>
    <w:rsid w:val="00D02F13"/>
    <w:rsid w:val="00D03319"/>
    <w:rsid w:val="00D04DF7"/>
    <w:rsid w:val="00D04F49"/>
    <w:rsid w:val="00D0518A"/>
    <w:rsid w:val="00D059DF"/>
    <w:rsid w:val="00D07E3D"/>
    <w:rsid w:val="00D100FC"/>
    <w:rsid w:val="00D105F1"/>
    <w:rsid w:val="00D1153D"/>
    <w:rsid w:val="00D11782"/>
    <w:rsid w:val="00D14312"/>
    <w:rsid w:val="00D14B82"/>
    <w:rsid w:val="00D15524"/>
    <w:rsid w:val="00D1580C"/>
    <w:rsid w:val="00D16A26"/>
    <w:rsid w:val="00D16A93"/>
    <w:rsid w:val="00D16F76"/>
    <w:rsid w:val="00D201C3"/>
    <w:rsid w:val="00D20944"/>
    <w:rsid w:val="00D20AAF"/>
    <w:rsid w:val="00D20B63"/>
    <w:rsid w:val="00D20C9B"/>
    <w:rsid w:val="00D22A9C"/>
    <w:rsid w:val="00D232B2"/>
    <w:rsid w:val="00D244DF"/>
    <w:rsid w:val="00D247F2"/>
    <w:rsid w:val="00D25D45"/>
    <w:rsid w:val="00D266CD"/>
    <w:rsid w:val="00D26BA3"/>
    <w:rsid w:val="00D27613"/>
    <w:rsid w:val="00D279D2"/>
    <w:rsid w:val="00D30AF8"/>
    <w:rsid w:val="00D31CEA"/>
    <w:rsid w:val="00D331D3"/>
    <w:rsid w:val="00D33F85"/>
    <w:rsid w:val="00D3445E"/>
    <w:rsid w:val="00D34BD7"/>
    <w:rsid w:val="00D34C71"/>
    <w:rsid w:val="00D34D27"/>
    <w:rsid w:val="00D3523F"/>
    <w:rsid w:val="00D35D51"/>
    <w:rsid w:val="00D36446"/>
    <w:rsid w:val="00D36C95"/>
    <w:rsid w:val="00D36E1F"/>
    <w:rsid w:val="00D37AE6"/>
    <w:rsid w:val="00D411C2"/>
    <w:rsid w:val="00D412C2"/>
    <w:rsid w:val="00D41C26"/>
    <w:rsid w:val="00D41EBB"/>
    <w:rsid w:val="00D4469A"/>
    <w:rsid w:val="00D44CEF"/>
    <w:rsid w:val="00D453AC"/>
    <w:rsid w:val="00D45E89"/>
    <w:rsid w:val="00D4660A"/>
    <w:rsid w:val="00D467DB"/>
    <w:rsid w:val="00D46FCF"/>
    <w:rsid w:val="00D47525"/>
    <w:rsid w:val="00D50670"/>
    <w:rsid w:val="00D5082F"/>
    <w:rsid w:val="00D508CA"/>
    <w:rsid w:val="00D5184F"/>
    <w:rsid w:val="00D52EB6"/>
    <w:rsid w:val="00D5448D"/>
    <w:rsid w:val="00D545F2"/>
    <w:rsid w:val="00D54901"/>
    <w:rsid w:val="00D55137"/>
    <w:rsid w:val="00D55A21"/>
    <w:rsid w:val="00D55C08"/>
    <w:rsid w:val="00D56EBD"/>
    <w:rsid w:val="00D573BF"/>
    <w:rsid w:val="00D573DF"/>
    <w:rsid w:val="00D60B29"/>
    <w:rsid w:val="00D62880"/>
    <w:rsid w:val="00D630EC"/>
    <w:rsid w:val="00D65210"/>
    <w:rsid w:val="00D670C2"/>
    <w:rsid w:val="00D6782C"/>
    <w:rsid w:val="00D67E55"/>
    <w:rsid w:val="00D70618"/>
    <w:rsid w:val="00D70737"/>
    <w:rsid w:val="00D7142E"/>
    <w:rsid w:val="00D71DC3"/>
    <w:rsid w:val="00D73382"/>
    <w:rsid w:val="00D74BC9"/>
    <w:rsid w:val="00D75027"/>
    <w:rsid w:val="00D76627"/>
    <w:rsid w:val="00D7683D"/>
    <w:rsid w:val="00D77996"/>
    <w:rsid w:val="00D77A7D"/>
    <w:rsid w:val="00D8030A"/>
    <w:rsid w:val="00D81321"/>
    <w:rsid w:val="00D831C4"/>
    <w:rsid w:val="00D838AC"/>
    <w:rsid w:val="00D83BEA"/>
    <w:rsid w:val="00D83D74"/>
    <w:rsid w:val="00D83F77"/>
    <w:rsid w:val="00D859E8"/>
    <w:rsid w:val="00D85A3F"/>
    <w:rsid w:val="00D85CFA"/>
    <w:rsid w:val="00D869EA"/>
    <w:rsid w:val="00D86ACC"/>
    <w:rsid w:val="00D8793B"/>
    <w:rsid w:val="00D87AC1"/>
    <w:rsid w:val="00D87EAE"/>
    <w:rsid w:val="00D90A17"/>
    <w:rsid w:val="00D92625"/>
    <w:rsid w:val="00D926DF"/>
    <w:rsid w:val="00D92794"/>
    <w:rsid w:val="00D93B60"/>
    <w:rsid w:val="00D947AC"/>
    <w:rsid w:val="00D95375"/>
    <w:rsid w:val="00D95483"/>
    <w:rsid w:val="00D96006"/>
    <w:rsid w:val="00D96DCC"/>
    <w:rsid w:val="00DA0629"/>
    <w:rsid w:val="00DA22DF"/>
    <w:rsid w:val="00DA37BF"/>
    <w:rsid w:val="00DA390B"/>
    <w:rsid w:val="00DA3ABA"/>
    <w:rsid w:val="00DA3E2A"/>
    <w:rsid w:val="00DA3F08"/>
    <w:rsid w:val="00DA40D5"/>
    <w:rsid w:val="00DA5129"/>
    <w:rsid w:val="00DA56D1"/>
    <w:rsid w:val="00DA5A66"/>
    <w:rsid w:val="00DA6E02"/>
    <w:rsid w:val="00DA7AAD"/>
    <w:rsid w:val="00DB0141"/>
    <w:rsid w:val="00DB0167"/>
    <w:rsid w:val="00DB0B07"/>
    <w:rsid w:val="00DB15CA"/>
    <w:rsid w:val="00DB2119"/>
    <w:rsid w:val="00DB2E59"/>
    <w:rsid w:val="00DB3F6F"/>
    <w:rsid w:val="00DB425C"/>
    <w:rsid w:val="00DB4840"/>
    <w:rsid w:val="00DB55DC"/>
    <w:rsid w:val="00DB5BEB"/>
    <w:rsid w:val="00DB66D0"/>
    <w:rsid w:val="00DB6B6C"/>
    <w:rsid w:val="00DB759C"/>
    <w:rsid w:val="00DC0516"/>
    <w:rsid w:val="00DC1A58"/>
    <w:rsid w:val="00DC2C4C"/>
    <w:rsid w:val="00DC302B"/>
    <w:rsid w:val="00DC3C21"/>
    <w:rsid w:val="00DC57AB"/>
    <w:rsid w:val="00DC7428"/>
    <w:rsid w:val="00DC753A"/>
    <w:rsid w:val="00DC7F83"/>
    <w:rsid w:val="00DD0867"/>
    <w:rsid w:val="00DD222D"/>
    <w:rsid w:val="00DD2A1E"/>
    <w:rsid w:val="00DD3E7B"/>
    <w:rsid w:val="00DD4512"/>
    <w:rsid w:val="00DD4B72"/>
    <w:rsid w:val="00DD50F4"/>
    <w:rsid w:val="00DD6A08"/>
    <w:rsid w:val="00DD73A9"/>
    <w:rsid w:val="00DD79A0"/>
    <w:rsid w:val="00DE1CD3"/>
    <w:rsid w:val="00DE2652"/>
    <w:rsid w:val="00DE28DF"/>
    <w:rsid w:val="00DE318C"/>
    <w:rsid w:val="00DE36EF"/>
    <w:rsid w:val="00DE37B1"/>
    <w:rsid w:val="00DE3C67"/>
    <w:rsid w:val="00DE3DFC"/>
    <w:rsid w:val="00DE4145"/>
    <w:rsid w:val="00DE4E74"/>
    <w:rsid w:val="00DE516B"/>
    <w:rsid w:val="00DE5EA9"/>
    <w:rsid w:val="00DE6675"/>
    <w:rsid w:val="00DE77A3"/>
    <w:rsid w:val="00DE7E1D"/>
    <w:rsid w:val="00DE7F0D"/>
    <w:rsid w:val="00DF03B6"/>
    <w:rsid w:val="00DF0A4D"/>
    <w:rsid w:val="00DF1101"/>
    <w:rsid w:val="00DF11BB"/>
    <w:rsid w:val="00DF145E"/>
    <w:rsid w:val="00DF1D3F"/>
    <w:rsid w:val="00DF2875"/>
    <w:rsid w:val="00DF2C90"/>
    <w:rsid w:val="00DF4CE0"/>
    <w:rsid w:val="00DF6AE3"/>
    <w:rsid w:val="00DF6DBF"/>
    <w:rsid w:val="00DF70BD"/>
    <w:rsid w:val="00DF7101"/>
    <w:rsid w:val="00DF716A"/>
    <w:rsid w:val="00E00611"/>
    <w:rsid w:val="00E030BA"/>
    <w:rsid w:val="00E0363B"/>
    <w:rsid w:val="00E04683"/>
    <w:rsid w:val="00E05755"/>
    <w:rsid w:val="00E05F2B"/>
    <w:rsid w:val="00E06084"/>
    <w:rsid w:val="00E067AA"/>
    <w:rsid w:val="00E067B1"/>
    <w:rsid w:val="00E06CC6"/>
    <w:rsid w:val="00E07373"/>
    <w:rsid w:val="00E07560"/>
    <w:rsid w:val="00E07FC1"/>
    <w:rsid w:val="00E10859"/>
    <w:rsid w:val="00E10B9C"/>
    <w:rsid w:val="00E1112C"/>
    <w:rsid w:val="00E11B98"/>
    <w:rsid w:val="00E11E8F"/>
    <w:rsid w:val="00E1268D"/>
    <w:rsid w:val="00E12C9E"/>
    <w:rsid w:val="00E1332B"/>
    <w:rsid w:val="00E1396C"/>
    <w:rsid w:val="00E13EBE"/>
    <w:rsid w:val="00E1433D"/>
    <w:rsid w:val="00E14EA0"/>
    <w:rsid w:val="00E151EC"/>
    <w:rsid w:val="00E1527E"/>
    <w:rsid w:val="00E15592"/>
    <w:rsid w:val="00E1573E"/>
    <w:rsid w:val="00E15CA9"/>
    <w:rsid w:val="00E175A9"/>
    <w:rsid w:val="00E20945"/>
    <w:rsid w:val="00E20B07"/>
    <w:rsid w:val="00E2105E"/>
    <w:rsid w:val="00E2164C"/>
    <w:rsid w:val="00E21DF6"/>
    <w:rsid w:val="00E2373F"/>
    <w:rsid w:val="00E239F5"/>
    <w:rsid w:val="00E23CD4"/>
    <w:rsid w:val="00E24787"/>
    <w:rsid w:val="00E24AB5"/>
    <w:rsid w:val="00E25BD8"/>
    <w:rsid w:val="00E25FBC"/>
    <w:rsid w:val="00E26504"/>
    <w:rsid w:val="00E27251"/>
    <w:rsid w:val="00E30BAB"/>
    <w:rsid w:val="00E314EE"/>
    <w:rsid w:val="00E317B4"/>
    <w:rsid w:val="00E32547"/>
    <w:rsid w:val="00E3260D"/>
    <w:rsid w:val="00E327BA"/>
    <w:rsid w:val="00E32BFD"/>
    <w:rsid w:val="00E33004"/>
    <w:rsid w:val="00E345C4"/>
    <w:rsid w:val="00E345C9"/>
    <w:rsid w:val="00E351B1"/>
    <w:rsid w:val="00E354E7"/>
    <w:rsid w:val="00E356A3"/>
    <w:rsid w:val="00E35907"/>
    <w:rsid w:val="00E360AB"/>
    <w:rsid w:val="00E3726F"/>
    <w:rsid w:val="00E3765B"/>
    <w:rsid w:val="00E40244"/>
    <w:rsid w:val="00E40EF0"/>
    <w:rsid w:val="00E41184"/>
    <w:rsid w:val="00E41D55"/>
    <w:rsid w:val="00E42952"/>
    <w:rsid w:val="00E429C1"/>
    <w:rsid w:val="00E42DCA"/>
    <w:rsid w:val="00E44054"/>
    <w:rsid w:val="00E441C4"/>
    <w:rsid w:val="00E442C4"/>
    <w:rsid w:val="00E44383"/>
    <w:rsid w:val="00E44B8D"/>
    <w:rsid w:val="00E45B02"/>
    <w:rsid w:val="00E45F07"/>
    <w:rsid w:val="00E461D5"/>
    <w:rsid w:val="00E46CAE"/>
    <w:rsid w:val="00E46D6D"/>
    <w:rsid w:val="00E47755"/>
    <w:rsid w:val="00E47B4D"/>
    <w:rsid w:val="00E502D7"/>
    <w:rsid w:val="00E50B05"/>
    <w:rsid w:val="00E51932"/>
    <w:rsid w:val="00E522FC"/>
    <w:rsid w:val="00E52B6C"/>
    <w:rsid w:val="00E537E8"/>
    <w:rsid w:val="00E5393A"/>
    <w:rsid w:val="00E53E20"/>
    <w:rsid w:val="00E54198"/>
    <w:rsid w:val="00E5429E"/>
    <w:rsid w:val="00E5537E"/>
    <w:rsid w:val="00E555D6"/>
    <w:rsid w:val="00E56334"/>
    <w:rsid w:val="00E565B9"/>
    <w:rsid w:val="00E56C9A"/>
    <w:rsid w:val="00E601E0"/>
    <w:rsid w:val="00E62C46"/>
    <w:rsid w:val="00E63741"/>
    <w:rsid w:val="00E637F3"/>
    <w:rsid w:val="00E63802"/>
    <w:rsid w:val="00E63849"/>
    <w:rsid w:val="00E64510"/>
    <w:rsid w:val="00E656B2"/>
    <w:rsid w:val="00E662D7"/>
    <w:rsid w:val="00E66350"/>
    <w:rsid w:val="00E66458"/>
    <w:rsid w:val="00E67E6C"/>
    <w:rsid w:val="00E703B4"/>
    <w:rsid w:val="00E712EB"/>
    <w:rsid w:val="00E738BD"/>
    <w:rsid w:val="00E739CA"/>
    <w:rsid w:val="00E74A6B"/>
    <w:rsid w:val="00E74C7D"/>
    <w:rsid w:val="00E757E0"/>
    <w:rsid w:val="00E76A5B"/>
    <w:rsid w:val="00E776E4"/>
    <w:rsid w:val="00E778A6"/>
    <w:rsid w:val="00E778DF"/>
    <w:rsid w:val="00E778F6"/>
    <w:rsid w:val="00E8061C"/>
    <w:rsid w:val="00E81199"/>
    <w:rsid w:val="00E81675"/>
    <w:rsid w:val="00E8254F"/>
    <w:rsid w:val="00E8310C"/>
    <w:rsid w:val="00E83D87"/>
    <w:rsid w:val="00E84762"/>
    <w:rsid w:val="00E85FA8"/>
    <w:rsid w:val="00E86973"/>
    <w:rsid w:val="00E86A8D"/>
    <w:rsid w:val="00E86E6A"/>
    <w:rsid w:val="00E87007"/>
    <w:rsid w:val="00E919A7"/>
    <w:rsid w:val="00E91A86"/>
    <w:rsid w:val="00E93709"/>
    <w:rsid w:val="00E94D36"/>
    <w:rsid w:val="00E95E88"/>
    <w:rsid w:val="00E95FB9"/>
    <w:rsid w:val="00E9608A"/>
    <w:rsid w:val="00E964F8"/>
    <w:rsid w:val="00E97809"/>
    <w:rsid w:val="00EA0A4C"/>
    <w:rsid w:val="00EA15F4"/>
    <w:rsid w:val="00EA1850"/>
    <w:rsid w:val="00EA1FC6"/>
    <w:rsid w:val="00EA2111"/>
    <w:rsid w:val="00EA23E5"/>
    <w:rsid w:val="00EA2C60"/>
    <w:rsid w:val="00EA2EF8"/>
    <w:rsid w:val="00EA35F9"/>
    <w:rsid w:val="00EA3A5E"/>
    <w:rsid w:val="00EA3B6B"/>
    <w:rsid w:val="00EA48AE"/>
    <w:rsid w:val="00EA5036"/>
    <w:rsid w:val="00EA5766"/>
    <w:rsid w:val="00EA5984"/>
    <w:rsid w:val="00EA6825"/>
    <w:rsid w:val="00EA6F0E"/>
    <w:rsid w:val="00EA78D8"/>
    <w:rsid w:val="00EA798B"/>
    <w:rsid w:val="00EA7BAE"/>
    <w:rsid w:val="00EA7E3D"/>
    <w:rsid w:val="00EB0FD8"/>
    <w:rsid w:val="00EB1413"/>
    <w:rsid w:val="00EB218C"/>
    <w:rsid w:val="00EB2191"/>
    <w:rsid w:val="00EB22E3"/>
    <w:rsid w:val="00EB2B17"/>
    <w:rsid w:val="00EB2F06"/>
    <w:rsid w:val="00EB2FF5"/>
    <w:rsid w:val="00EB3750"/>
    <w:rsid w:val="00EB3A4A"/>
    <w:rsid w:val="00EB5E89"/>
    <w:rsid w:val="00EB6A1E"/>
    <w:rsid w:val="00EB7731"/>
    <w:rsid w:val="00EC00FB"/>
    <w:rsid w:val="00EC0F70"/>
    <w:rsid w:val="00EC10A8"/>
    <w:rsid w:val="00EC148B"/>
    <w:rsid w:val="00EC1544"/>
    <w:rsid w:val="00EC1600"/>
    <w:rsid w:val="00EC2077"/>
    <w:rsid w:val="00EC217E"/>
    <w:rsid w:val="00EC269F"/>
    <w:rsid w:val="00EC3531"/>
    <w:rsid w:val="00EC4281"/>
    <w:rsid w:val="00EC486D"/>
    <w:rsid w:val="00EC4B21"/>
    <w:rsid w:val="00EC5061"/>
    <w:rsid w:val="00EC53EF"/>
    <w:rsid w:val="00EC5CFA"/>
    <w:rsid w:val="00EC728B"/>
    <w:rsid w:val="00ED1436"/>
    <w:rsid w:val="00ED2BA5"/>
    <w:rsid w:val="00ED3FD4"/>
    <w:rsid w:val="00ED4117"/>
    <w:rsid w:val="00ED43F1"/>
    <w:rsid w:val="00ED4AED"/>
    <w:rsid w:val="00ED5846"/>
    <w:rsid w:val="00ED5C3E"/>
    <w:rsid w:val="00ED6A52"/>
    <w:rsid w:val="00ED72E4"/>
    <w:rsid w:val="00ED7D95"/>
    <w:rsid w:val="00EE021E"/>
    <w:rsid w:val="00EE0729"/>
    <w:rsid w:val="00EE15F0"/>
    <w:rsid w:val="00EE1EE5"/>
    <w:rsid w:val="00EE2048"/>
    <w:rsid w:val="00EE223A"/>
    <w:rsid w:val="00EE24FC"/>
    <w:rsid w:val="00EE2917"/>
    <w:rsid w:val="00EE323B"/>
    <w:rsid w:val="00EE48B1"/>
    <w:rsid w:val="00EE5769"/>
    <w:rsid w:val="00EE57DB"/>
    <w:rsid w:val="00EE5A95"/>
    <w:rsid w:val="00EE6090"/>
    <w:rsid w:val="00EE6839"/>
    <w:rsid w:val="00EE7BB4"/>
    <w:rsid w:val="00EF00B3"/>
    <w:rsid w:val="00EF0721"/>
    <w:rsid w:val="00EF1576"/>
    <w:rsid w:val="00EF1DE4"/>
    <w:rsid w:val="00EF239C"/>
    <w:rsid w:val="00EF2889"/>
    <w:rsid w:val="00EF2926"/>
    <w:rsid w:val="00EF2AB8"/>
    <w:rsid w:val="00EF3916"/>
    <w:rsid w:val="00EF40B2"/>
    <w:rsid w:val="00EF4250"/>
    <w:rsid w:val="00EF448C"/>
    <w:rsid w:val="00EF470B"/>
    <w:rsid w:val="00EF630C"/>
    <w:rsid w:val="00EF647E"/>
    <w:rsid w:val="00EF697B"/>
    <w:rsid w:val="00EF7D07"/>
    <w:rsid w:val="00F003A3"/>
    <w:rsid w:val="00F00A5F"/>
    <w:rsid w:val="00F026E0"/>
    <w:rsid w:val="00F03007"/>
    <w:rsid w:val="00F0378B"/>
    <w:rsid w:val="00F03BA9"/>
    <w:rsid w:val="00F03C48"/>
    <w:rsid w:val="00F04458"/>
    <w:rsid w:val="00F05205"/>
    <w:rsid w:val="00F054E6"/>
    <w:rsid w:val="00F05C4B"/>
    <w:rsid w:val="00F06EEF"/>
    <w:rsid w:val="00F06F6E"/>
    <w:rsid w:val="00F073F9"/>
    <w:rsid w:val="00F10458"/>
    <w:rsid w:val="00F105BE"/>
    <w:rsid w:val="00F11251"/>
    <w:rsid w:val="00F11291"/>
    <w:rsid w:val="00F11933"/>
    <w:rsid w:val="00F13187"/>
    <w:rsid w:val="00F147C4"/>
    <w:rsid w:val="00F15B66"/>
    <w:rsid w:val="00F15C9F"/>
    <w:rsid w:val="00F168CD"/>
    <w:rsid w:val="00F16BF7"/>
    <w:rsid w:val="00F17F22"/>
    <w:rsid w:val="00F2039F"/>
    <w:rsid w:val="00F20603"/>
    <w:rsid w:val="00F209D6"/>
    <w:rsid w:val="00F20C77"/>
    <w:rsid w:val="00F20EE8"/>
    <w:rsid w:val="00F216E9"/>
    <w:rsid w:val="00F22B63"/>
    <w:rsid w:val="00F230B9"/>
    <w:rsid w:val="00F2368C"/>
    <w:rsid w:val="00F2400D"/>
    <w:rsid w:val="00F24191"/>
    <w:rsid w:val="00F24905"/>
    <w:rsid w:val="00F249B7"/>
    <w:rsid w:val="00F249E8"/>
    <w:rsid w:val="00F24B96"/>
    <w:rsid w:val="00F25238"/>
    <w:rsid w:val="00F2570F"/>
    <w:rsid w:val="00F26E31"/>
    <w:rsid w:val="00F26F3E"/>
    <w:rsid w:val="00F26F7B"/>
    <w:rsid w:val="00F27DCC"/>
    <w:rsid w:val="00F315EB"/>
    <w:rsid w:val="00F31D27"/>
    <w:rsid w:val="00F31D89"/>
    <w:rsid w:val="00F324E3"/>
    <w:rsid w:val="00F32947"/>
    <w:rsid w:val="00F339FA"/>
    <w:rsid w:val="00F33A94"/>
    <w:rsid w:val="00F33BAC"/>
    <w:rsid w:val="00F345FF"/>
    <w:rsid w:val="00F35CB4"/>
    <w:rsid w:val="00F3609B"/>
    <w:rsid w:val="00F36882"/>
    <w:rsid w:val="00F375C1"/>
    <w:rsid w:val="00F40634"/>
    <w:rsid w:val="00F418FB"/>
    <w:rsid w:val="00F4271C"/>
    <w:rsid w:val="00F42BAF"/>
    <w:rsid w:val="00F4431A"/>
    <w:rsid w:val="00F44C3E"/>
    <w:rsid w:val="00F44D27"/>
    <w:rsid w:val="00F4528A"/>
    <w:rsid w:val="00F452CB"/>
    <w:rsid w:val="00F45631"/>
    <w:rsid w:val="00F45F41"/>
    <w:rsid w:val="00F4759D"/>
    <w:rsid w:val="00F47654"/>
    <w:rsid w:val="00F47CCE"/>
    <w:rsid w:val="00F47DF3"/>
    <w:rsid w:val="00F5052B"/>
    <w:rsid w:val="00F50AF1"/>
    <w:rsid w:val="00F50BAD"/>
    <w:rsid w:val="00F5342F"/>
    <w:rsid w:val="00F53DA8"/>
    <w:rsid w:val="00F576E9"/>
    <w:rsid w:val="00F57FD7"/>
    <w:rsid w:val="00F57FD9"/>
    <w:rsid w:val="00F60B56"/>
    <w:rsid w:val="00F60DAD"/>
    <w:rsid w:val="00F6101E"/>
    <w:rsid w:val="00F611C5"/>
    <w:rsid w:val="00F617CB"/>
    <w:rsid w:val="00F61A78"/>
    <w:rsid w:val="00F61BB1"/>
    <w:rsid w:val="00F63F45"/>
    <w:rsid w:val="00F653D4"/>
    <w:rsid w:val="00F659F5"/>
    <w:rsid w:val="00F65E77"/>
    <w:rsid w:val="00F65EC0"/>
    <w:rsid w:val="00F65FC5"/>
    <w:rsid w:val="00F662D6"/>
    <w:rsid w:val="00F67F0E"/>
    <w:rsid w:val="00F70063"/>
    <w:rsid w:val="00F70FF5"/>
    <w:rsid w:val="00F711AF"/>
    <w:rsid w:val="00F717BA"/>
    <w:rsid w:val="00F72014"/>
    <w:rsid w:val="00F725FC"/>
    <w:rsid w:val="00F72B1B"/>
    <w:rsid w:val="00F73448"/>
    <w:rsid w:val="00F73771"/>
    <w:rsid w:val="00F73C9A"/>
    <w:rsid w:val="00F73D04"/>
    <w:rsid w:val="00F74C8D"/>
    <w:rsid w:val="00F75B27"/>
    <w:rsid w:val="00F75C77"/>
    <w:rsid w:val="00F7630C"/>
    <w:rsid w:val="00F80EAC"/>
    <w:rsid w:val="00F81DCD"/>
    <w:rsid w:val="00F81F4C"/>
    <w:rsid w:val="00F82094"/>
    <w:rsid w:val="00F832CB"/>
    <w:rsid w:val="00F83864"/>
    <w:rsid w:val="00F845A9"/>
    <w:rsid w:val="00F845C8"/>
    <w:rsid w:val="00F847DB"/>
    <w:rsid w:val="00F84FC4"/>
    <w:rsid w:val="00F851F6"/>
    <w:rsid w:val="00F85482"/>
    <w:rsid w:val="00F868BE"/>
    <w:rsid w:val="00F86F28"/>
    <w:rsid w:val="00F8758C"/>
    <w:rsid w:val="00F8775C"/>
    <w:rsid w:val="00F902FD"/>
    <w:rsid w:val="00F90443"/>
    <w:rsid w:val="00F92235"/>
    <w:rsid w:val="00F9279F"/>
    <w:rsid w:val="00F92F9D"/>
    <w:rsid w:val="00F93A28"/>
    <w:rsid w:val="00F94587"/>
    <w:rsid w:val="00F947BE"/>
    <w:rsid w:val="00F94BB4"/>
    <w:rsid w:val="00F95E3E"/>
    <w:rsid w:val="00F96061"/>
    <w:rsid w:val="00F972F1"/>
    <w:rsid w:val="00FA0719"/>
    <w:rsid w:val="00FA0C9B"/>
    <w:rsid w:val="00FA0CF8"/>
    <w:rsid w:val="00FA0DF5"/>
    <w:rsid w:val="00FA1094"/>
    <w:rsid w:val="00FA1491"/>
    <w:rsid w:val="00FA19C9"/>
    <w:rsid w:val="00FA2B08"/>
    <w:rsid w:val="00FA30A6"/>
    <w:rsid w:val="00FA3FE4"/>
    <w:rsid w:val="00FA4178"/>
    <w:rsid w:val="00FA4A4B"/>
    <w:rsid w:val="00FA4A5C"/>
    <w:rsid w:val="00FA54C6"/>
    <w:rsid w:val="00FA55D9"/>
    <w:rsid w:val="00FA624C"/>
    <w:rsid w:val="00FA65CE"/>
    <w:rsid w:val="00FA66DD"/>
    <w:rsid w:val="00FA6E90"/>
    <w:rsid w:val="00FA737D"/>
    <w:rsid w:val="00FB02F0"/>
    <w:rsid w:val="00FB08A8"/>
    <w:rsid w:val="00FB281B"/>
    <w:rsid w:val="00FB2B76"/>
    <w:rsid w:val="00FB33C7"/>
    <w:rsid w:val="00FB33EC"/>
    <w:rsid w:val="00FB347E"/>
    <w:rsid w:val="00FB46ED"/>
    <w:rsid w:val="00FB4861"/>
    <w:rsid w:val="00FB4BF2"/>
    <w:rsid w:val="00FB6122"/>
    <w:rsid w:val="00FB6235"/>
    <w:rsid w:val="00FB6475"/>
    <w:rsid w:val="00FB79A5"/>
    <w:rsid w:val="00FC0019"/>
    <w:rsid w:val="00FC10AB"/>
    <w:rsid w:val="00FC1313"/>
    <w:rsid w:val="00FC247D"/>
    <w:rsid w:val="00FC28A2"/>
    <w:rsid w:val="00FC292C"/>
    <w:rsid w:val="00FC3069"/>
    <w:rsid w:val="00FC37DB"/>
    <w:rsid w:val="00FC392F"/>
    <w:rsid w:val="00FC437C"/>
    <w:rsid w:val="00FC44A8"/>
    <w:rsid w:val="00FC4B11"/>
    <w:rsid w:val="00FC5B5F"/>
    <w:rsid w:val="00FC5CE9"/>
    <w:rsid w:val="00FC622D"/>
    <w:rsid w:val="00FC6897"/>
    <w:rsid w:val="00FC68D0"/>
    <w:rsid w:val="00FC6964"/>
    <w:rsid w:val="00FC6E57"/>
    <w:rsid w:val="00FC713B"/>
    <w:rsid w:val="00FD0991"/>
    <w:rsid w:val="00FD1347"/>
    <w:rsid w:val="00FD222B"/>
    <w:rsid w:val="00FD291F"/>
    <w:rsid w:val="00FD4197"/>
    <w:rsid w:val="00FD54D1"/>
    <w:rsid w:val="00FD56C8"/>
    <w:rsid w:val="00FD5DA5"/>
    <w:rsid w:val="00FD60A6"/>
    <w:rsid w:val="00FD65DE"/>
    <w:rsid w:val="00FD664A"/>
    <w:rsid w:val="00FD66E2"/>
    <w:rsid w:val="00FD6F12"/>
    <w:rsid w:val="00FD765B"/>
    <w:rsid w:val="00FE0479"/>
    <w:rsid w:val="00FE18D1"/>
    <w:rsid w:val="00FE1A67"/>
    <w:rsid w:val="00FE287F"/>
    <w:rsid w:val="00FE351C"/>
    <w:rsid w:val="00FE50EF"/>
    <w:rsid w:val="00FE5A4E"/>
    <w:rsid w:val="00FE61B0"/>
    <w:rsid w:val="00FE66D1"/>
    <w:rsid w:val="00FE7FA4"/>
    <w:rsid w:val="00FF03FA"/>
    <w:rsid w:val="00FF05A7"/>
    <w:rsid w:val="00FF0AE8"/>
    <w:rsid w:val="00FF11BD"/>
    <w:rsid w:val="00FF1AE3"/>
    <w:rsid w:val="00FF252A"/>
    <w:rsid w:val="00FF38C6"/>
    <w:rsid w:val="00FF471D"/>
    <w:rsid w:val="00FF4812"/>
    <w:rsid w:val="00FF5C6A"/>
    <w:rsid w:val="00FF70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1BB9A"/>
  <w15:chartTrackingRefBased/>
  <w15:docId w15:val="{5155C875-7CA2-4259-9404-5341297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73315"/>
    <w:pPr>
      <w:keepNext/>
      <w:keepLines/>
      <w:spacing w:after="0" w:line="240" w:lineRule="auto"/>
      <w:jc w:val="both"/>
      <w:outlineLvl w:val="0"/>
    </w:pPr>
    <w:rPr>
      <w:rFonts w:ascii="Times New Roman" w:eastAsiaTheme="majorEastAsia" w:hAnsi="Times New Roman" w:cstheme="majorBidi"/>
      <w:b/>
      <w:color w:val="1F3864" w:themeColor="accent1" w:themeShade="80"/>
      <w:spacing w:val="-2"/>
      <w:sz w:val="26"/>
      <w:szCs w:val="32"/>
    </w:rPr>
  </w:style>
  <w:style w:type="paragraph" w:styleId="Ttulo2">
    <w:name w:val="heading 2"/>
    <w:basedOn w:val="Normal"/>
    <w:next w:val="Normal"/>
    <w:link w:val="Ttulo2Car"/>
    <w:uiPriority w:val="9"/>
    <w:unhideWhenUsed/>
    <w:qFormat/>
    <w:rsid w:val="00CA0525"/>
    <w:pPr>
      <w:keepNext/>
      <w:keepLines/>
      <w:numPr>
        <w:numId w:val="4"/>
      </w:numPr>
      <w:spacing w:after="0"/>
      <w:jc w:val="both"/>
      <w:outlineLvl w:val="1"/>
    </w:pPr>
    <w:rPr>
      <w:rFonts w:ascii="Times New Roman" w:eastAsiaTheme="majorEastAsia" w:hAnsi="Times New Roman" w:cstheme="majorBidi"/>
      <w:b/>
      <w:color w:val="1F3864" w:themeColor="accent1" w:themeShade="80"/>
      <w:sz w:val="24"/>
      <w:szCs w:val="26"/>
    </w:rPr>
  </w:style>
  <w:style w:type="paragraph" w:styleId="Ttulo3">
    <w:name w:val="heading 3"/>
    <w:basedOn w:val="Normal"/>
    <w:next w:val="Normal"/>
    <w:link w:val="Ttulo3Car"/>
    <w:uiPriority w:val="9"/>
    <w:unhideWhenUsed/>
    <w:qFormat/>
    <w:rsid w:val="006C2A39"/>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BF9"/>
    <w:pPr>
      <w:ind w:left="720"/>
      <w:contextualSpacing/>
    </w:pPr>
  </w:style>
  <w:style w:type="character" w:styleId="Hipervnculo">
    <w:name w:val="Hyperlink"/>
    <w:uiPriority w:val="99"/>
    <w:unhideWhenUsed/>
    <w:rsid w:val="00236A23"/>
    <w:rPr>
      <w:color w:val="0000FF"/>
      <w:u w:val="single"/>
    </w:rPr>
  </w:style>
  <w:style w:type="paragraph" w:styleId="Textodeglobo">
    <w:name w:val="Balloon Text"/>
    <w:basedOn w:val="Normal"/>
    <w:link w:val="TextodegloboCar"/>
    <w:uiPriority w:val="99"/>
    <w:semiHidden/>
    <w:unhideWhenUsed/>
    <w:rsid w:val="00AD09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094E"/>
    <w:rPr>
      <w:rFonts w:ascii="Segoe UI" w:hAnsi="Segoe UI" w:cs="Segoe UI"/>
      <w:sz w:val="18"/>
      <w:szCs w:val="18"/>
    </w:rPr>
  </w:style>
  <w:style w:type="paragraph" w:styleId="Encabezado">
    <w:name w:val="header"/>
    <w:basedOn w:val="Normal"/>
    <w:link w:val="EncabezadoCar"/>
    <w:uiPriority w:val="99"/>
    <w:unhideWhenUsed/>
    <w:rsid w:val="008F1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462"/>
  </w:style>
  <w:style w:type="paragraph" w:styleId="Piedepgina">
    <w:name w:val="footer"/>
    <w:basedOn w:val="Normal"/>
    <w:link w:val="PiedepginaCar"/>
    <w:uiPriority w:val="99"/>
    <w:unhideWhenUsed/>
    <w:rsid w:val="008F1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62"/>
  </w:style>
  <w:style w:type="character" w:styleId="Refdecomentario">
    <w:name w:val="annotation reference"/>
    <w:uiPriority w:val="99"/>
    <w:semiHidden/>
    <w:unhideWhenUsed/>
    <w:rsid w:val="006716A0"/>
    <w:rPr>
      <w:sz w:val="16"/>
      <w:szCs w:val="16"/>
    </w:rPr>
  </w:style>
  <w:style w:type="paragraph" w:styleId="Textocomentario">
    <w:name w:val="annotation text"/>
    <w:basedOn w:val="Normal"/>
    <w:link w:val="TextocomentarioCar"/>
    <w:uiPriority w:val="99"/>
    <w:semiHidden/>
    <w:unhideWhenUsed/>
    <w:rsid w:val="006716A0"/>
    <w:pPr>
      <w:spacing w:line="240" w:lineRule="auto"/>
    </w:pPr>
    <w:rPr>
      <w:sz w:val="20"/>
      <w:szCs w:val="20"/>
    </w:rPr>
  </w:style>
  <w:style w:type="character" w:customStyle="1" w:styleId="TextocomentarioCar">
    <w:name w:val="Texto comentario Car"/>
    <w:link w:val="Textocomentario"/>
    <w:uiPriority w:val="99"/>
    <w:semiHidden/>
    <w:rsid w:val="006716A0"/>
    <w:rPr>
      <w:sz w:val="20"/>
      <w:szCs w:val="20"/>
    </w:rPr>
  </w:style>
  <w:style w:type="paragraph" w:styleId="Asuntodelcomentario">
    <w:name w:val="annotation subject"/>
    <w:basedOn w:val="Textocomentario"/>
    <w:next w:val="Textocomentario"/>
    <w:link w:val="AsuntodelcomentarioCar"/>
    <w:uiPriority w:val="99"/>
    <w:semiHidden/>
    <w:unhideWhenUsed/>
    <w:rsid w:val="006716A0"/>
    <w:rPr>
      <w:b/>
      <w:bCs/>
    </w:rPr>
  </w:style>
  <w:style w:type="character" w:customStyle="1" w:styleId="AsuntodelcomentarioCar">
    <w:name w:val="Asunto del comentario Car"/>
    <w:link w:val="Asuntodelcomentario"/>
    <w:uiPriority w:val="99"/>
    <w:semiHidden/>
    <w:rsid w:val="006716A0"/>
    <w:rPr>
      <w:b/>
      <w:bCs/>
      <w:sz w:val="20"/>
      <w:szCs w:val="20"/>
    </w:rPr>
  </w:style>
  <w:style w:type="table" w:styleId="Tablaconcuadrcula">
    <w:name w:val="Table Grid"/>
    <w:basedOn w:val="Tablanormal"/>
    <w:uiPriority w:val="39"/>
    <w:rsid w:val="001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66F0E"/>
    <w:rPr>
      <w:sz w:val="22"/>
      <w:szCs w:val="22"/>
      <w:lang w:eastAsia="en-US"/>
    </w:rPr>
  </w:style>
  <w:style w:type="character" w:customStyle="1" w:styleId="Ttulo1Car">
    <w:name w:val="Título 1 Car"/>
    <w:basedOn w:val="Fuentedeprrafopredeter"/>
    <w:link w:val="Ttulo1"/>
    <w:uiPriority w:val="9"/>
    <w:rsid w:val="00073315"/>
    <w:rPr>
      <w:rFonts w:ascii="Times New Roman" w:eastAsiaTheme="majorEastAsia" w:hAnsi="Times New Roman" w:cstheme="majorBidi"/>
      <w:b/>
      <w:color w:val="1F3864" w:themeColor="accent1" w:themeShade="80"/>
      <w:spacing w:val="-2"/>
      <w:sz w:val="26"/>
      <w:szCs w:val="32"/>
      <w:lang w:eastAsia="en-US"/>
    </w:rPr>
  </w:style>
  <w:style w:type="paragraph" w:styleId="Subttulo">
    <w:name w:val="Subtitle"/>
    <w:basedOn w:val="Normal"/>
    <w:next w:val="Normal"/>
    <w:link w:val="SubttuloCar"/>
    <w:uiPriority w:val="11"/>
    <w:qFormat/>
    <w:rsid w:val="00DB2119"/>
    <w:pPr>
      <w:numPr>
        <w:numId w:val="3"/>
      </w:numPr>
      <w:spacing w:after="0"/>
    </w:pPr>
    <w:rPr>
      <w:rFonts w:ascii="Times New Roman" w:eastAsiaTheme="minorEastAsia" w:hAnsi="Times New Roman" w:cstheme="minorBidi"/>
      <w:b/>
      <w:color w:val="1F3864" w:themeColor="accent1" w:themeShade="80"/>
      <w:spacing w:val="15"/>
      <w:sz w:val="24"/>
    </w:rPr>
  </w:style>
  <w:style w:type="character" w:customStyle="1" w:styleId="SubttuloCar">
    <w:name w:val="Subtítulo Car"/>
    <w:basedOn w:val="Fuentedeprrafopredeter"/>
    <w:link w:val="Subttulo"/>
    <w:uiPriority w:val="11"/>
    <w:rsid w:val="00DB2119"/>
    <w:rPr>
      <w:rFonts w:ascii="Times New Roman" w:eastAsiaTheme="minorEastAsia" w:hAnsi="Times New Roman" w:cstheme="minorBidi"/>
      <w:b/>
      <w:color w:val="1F3864" w:themeColor="accent1" w:themeShade="80"/>
      <w:spacing w:val="15"/>
      <w:sz w:val="24"/>
      <w:szCs w:val="22"/>
      <w:lang w:eastAsia="en-US"/>
    </w:rPr>
  </w:style>
  <w:style w:type="paragraph" w:styleId="TtuloTDC">
    <w:name w:val="TOC Heading"/>
    <w:basedOn w:val="Ttulo1"/>
    <w:next w:val="Normal"/>
    <w:uiPriority w:val="39"/>
    <w:unhideWhenUsed/>
    <w:qFormat/>
    <w:rsid w:val="00DB2119"/>
    <w:pPr>
      <w:spacing w:before="24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DB2119"/>
    <w:pPr>
      <w:spacing w:after="100"/>
    </w:pPr>
  </w:style>
  <w:style w:type="paragraph" w:styleId="TDC2">
    <w:name w:val="toc 2"/>
    <w:basedOn w:val="Normal"/>
    <w:next w:val="Normal"/>
    <w:autoRedefine/>
    <w:uiPriority w:val="39"/>
    <w:unhideWhenUsed/>
    <w:rsid w:val="00DB2119"/>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DB2119"/>
    <w:pPr>
      <w:spacing w:after="100"/>
      <w:ind w:left="440"/>
    </w:pPr>
    <w:rPr>
      <w:rFonts w:asciiTheme="minorHAnsi" w:eastAsiaTheme="minorEastAsia" w:hAnsiTheme="minorHAnsi"/>
      <w:lang w:eastAsia="es-CO"/>
    </w:rPr>
  </w:style>
  <w:style w:type="paragraph" w:styleId="Ttulo">
    <w:name w:val="Title"/>
    <w:basedOn w:val="Normal"/>
    <w:next w:val="Normal"/>
    <w:link w:val="TtuloCar"/>
    <w:uiPriority w:val="10"/>
    <w:qFormat/>
    <w:rsid w:val="00DB2119"/>
    <w:pPr>
      <w:spacing w:after="0" w:line="240" w:lineRule="auto"/>
      <w:contextualSpacing/>
      <w:jc w:val="both"/>
    </w:pPr>
    <w:rPr>
      <w:rFonts w:ascii="Times New Roman" w:eastAsiaTheme="majorEastAsia" w:hAnsi="Times New Roman" w:cstheme="majorBidi"/>
      <w:b/>
      <w:color w:val="1F3864" w:themeColor="accent1" w:themeShade="80"/>
      <w:spacing w:val="-10"/>
      <w:kern w:val="28"/>
      <w:sz w:val="26"/>
      <w:szCs w:val="56"/>
    </w:rPr>
  </w:style>
  <w:style w:type="character" w:customStyle="1" w:styleId="TtuloCar">
    <w:name w:val="Título Car"/>
    <w:basedOn w:val="Fuentedeprrafopredeter"/>
    <w:link w:val="Ttulo"/>
    <w:uiPriority w:val="10"/>
    <w:rsid w:val="00DB2119"/>
    <w:rPr>
      <w:rFonts w:ascii="Times New Roman" w:eastAsiaTheme="majorEastAsia" w:hAnsi="Times New Roman" w:cstheme="majorBidi"/>
      <w:b/>
      <w:color w:val="1F3864" w:themeColor="accent1" w:themeShade="80"/>
      <w:spacing w:val="-10"/>
      <w:kern w:val="28"/>
      <w:sz w:val="26"/>
      <w:szCs w:val="56"/>
      <w:lang w:eastAsia="en-US"/>
    </w:rPr>
  </w:style>
  <w:style w:type="character" w:customStyle="1" w:styleId="Ttulo2Car">
    <w:name w:val="Título 2 Car"/>
    <w:basedOn w:val="Fuentedeprrafopredeter"/>
    <w:link w:val="Ttulo2"/>
    <w:uiPriority w:val="9"/>
    <w:rsid w:val="00CA0525"/>
    <w:rPr>
      <w:rFonts w:ascii="Times New Roman" w:eastAsiaTheme="majorEastAsia" w:hAnsi="Times New Roman" w:cstheme="majorBidi"/>
      <w:b/>
      <w:color w:val="1F3864" w:themeColor="accent1" w:themeShade="80"/>
      <w:sz w:val="24"/>
      <w:szCs w:val="26"/>
      <w:lang w:eastAsia="en-US"/>
    </w:rPr>
  </w:style>
  <w:style w:type="character" w:customStyle="1" w:styleId="Ttulo3Car">
    <w:name w:val="Título 3 Car"/>
    <w:basedOn w:val="Fuentedeprrafopredeter"/>
    <w:link w:val="Ttulo3"/>
    <w:uiPriority w:val="9"/>
    <w:rsid w:val="006C2A39"/>
    <w:rPr>
      <w:rFonts w:ascii="Times New Roman" w:eastAsiaTheme="majorEastAsia" w:hAnsi="Times New Roman" w:cstheme="majorBidi"/>
      <w:b/>
      <w:sz w:val="24"/>
      <w:szCs w:val="24"/>
      <w:lang w:eastAsia="en-US"/>
    </w:rPr>
  </w:style>
  <w:style w:type="paragraph" w:styleId="TDC4">
    <w:name w:val="toc 4"/>
    <w:basedOn w:val="Normal"/>
    <w:next w:val="Normal"/>
    <w:autoRedefine/>
    <w:uiPriority w:val="39"/>
    <w:unhideWhenUsed/>
    <w:rsid w:val="009A7096"/>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9A7096"/>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9A7096"/>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9A7096"/>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9A7096"/>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9A7096"/>
    <w:pPr>
      <w:spacing w:after="100"/>
      <w:ind w:left="1760"/>
    </w:pPr>
    <w:rPr>
      <w:rFonts w:asciiTheme="minorHAnsi" w:eastAsiaTheme="minorEastAsia" w:hAnsiTheme="minorHAnsi" w:cstheme="minorBidi"/>
      <w:lang w:eastAsia="es-CO"/>
    </w:rPr>
  </w:style>
  <w:style w:type="character" w:customStyle="1" w:styleId="Mencinsinresolver1">
    <w:name w:val="Mención sin resolver1"/>
    <w:basedOn w:val="Fuentedeprrafopredeter"/>
    <w:uiPriority w:val="99"/>
    <w:semiHidden/>
    <w:unhideWhenUsed/>
    <w:rsid w:val="009A7096"/>
    <w:rPr>
      <w:color w:val="605E5C"/>
      <w:shd w:val="clear" w:color="auto" w:fill="E1DFDD"/>
    </w:rPr>
  </w:style>
  <w:style w:type="paragraph" w:styleId="Textoindependiente">
    <w:name w:val="Body Text"/>
    <w:basedOn w:val="Normal"/>
    <w:link w:val="TextoindependienteCar"/>
    <w:uiPriority w:val="99"/>
    <w:semiHidden/>
    <w:unhideWhenUsed/>
    <w:rsid w:val="00332CFB"/>
    <w:pPr>
      <w:spacing w:after="120"/>
    </w:pPr>
  </w:style>
  <w:style w:type="character" w:customStyle="1" w:styleId="TextoindependienteCar">
    <w:name w:val="Texto independiente Car"/>
    <w:basedOn w:val="Fuentedeprrafopredeter"/>
    <w:link w:val="Textoindependiente"/>
    <w:uiPriority w:val="99"/>
    <w:semiHidden/>
    <w:rsid w:val="00332CFB"/>
    <w:rPr>
      <w:sz w:val="22"/>
      <w:szCs w:val="22"/>
      <w:lang w:eastAsia="en-US"/>
    </w:rPr>
  </w:style>
  <w:style w:type="table" w:customStyle="1" w:styleId="Tablaconcuadrcula1">
    <w:name w:val="Tabla con cuadrícula1"/>
    <w:basedOn w:val="Tablanormal"/>
    <w:next w:val="Tablaconcuadrcula"/>
    <w:uiPriority w:val="59"/>
    <w:rsid w:val="00605D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3A5E"/>
    <w:pPr>
      <w:autoSpaceDE w:val="0"/>
      <w:autoSpaceDN w:val="0"/>
      <w:adjustRightInd w:val="0"/>
      <w:ind w:left="1980" w:right="570" w:hanging="1980"/>
      <w:jc w:val="both"/>
    </w:pPr>
    <w:rPr>
      <w:rFonts w:ascii="Times New Roman" w:eastAsiaTheme="minorEastAsia" w:hAnsi="Times New Roman"/>
      <w:color w:val="000000"/>
      <w:sz w:val="24"/>
      <w:szCs w:val="24"/>
      <w:lang w:val="es-ES" w:eastAsia="es-ES"/>
    </w:rPr>
  </w:style>
  <w:style w:type="character" w:styleId="Mencinsinresolver">
    <w:name w:val="Unresolved Mention"/>
    <w:basedOn w:val="Fuentedeprrafopredeter"/>
    <w:uiPriority w:val="99"/>
    <w:semiHidden/>
    <w:unhideWhenUsed/>
    <w:rsid w:val="00C4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562">
      <w:bodyDiv w:val="1"/>
      <w:marLeft w:val="0"/>
      <w:marRight w:val="0"/>
      <w:marTop w:val="0"/>
      <w:marBottom w:val="0"/>
      <w:divBdr>
        <w:top w:val="none" w:sz="0" w:space="0" w:color="auto"/>
        <w:left w:val="none" w:sz="0" w:space="0" w:color="auto"/>
        <w:bottom w:val="none" w:sz="0" w:space="0" w:color="auto"/>
        <w:right w:val="none" w:sz="0" w:space="0" w:color="auto"/>
      </w:divBdr>
    </w:div>
    <w:div w:id="471335710">
      <w:bodyDiv w:val="1"/>
      <w:marLeft w:val="0"/>
      <w:marRight w:val="0"/>
      <w:marTop w:val="0"/>
      <w:marBottom w:val="0"/>
      <w:divBdr>
        <w:top w:val="none" w:sz="0" w:space="0" w:color="auto"/>
        <w:left w:val="none" w:sz="0" w:space="0" w:color="auto"/>
        <w:bottom w:val="none" w:sz="0" w:space="0" w:color="auto"/>
        <w:right w:val="none" w:sz="0" w:space="0" w:color="auto"/>
      </w:divBdr>
    </w:div>
    <w:div w:id="481117557">
      <w:bodyDiv w:val="1"/>
      <w:marLeft w:val="0"/>
      <w:marRight w:val="0"/>
      <w:marTop w:val="0"/>
      <w:marBottom w:val="0"/>
      <w:divBdr>
        <w:top w:val="none" w:sz="0" w:space="0" w:color="auto"/>
        <w:left w:val="none" w:sz="0" w:space="0" w:color="auto"/>
        <w:bottom w:val="none" w:sz="0" w:space="0" w:color="auto"/>
        <w:right w:val="none" w:sz="0" w:space="0" w:color="auto"/>
      </w:divBdr>
    </w:div>
    <w:div w:id="591008334">
      <w:bodyDiv w:val="1"/>
      <w:marLeft w:val="0"/>
      <w:marRight w:val="0"/>
      <w:marTop w:val="0"/>
      <w:marBottom w:val="0"/>
      <w:divBdr>
        <w:top w:val="none" w:sz="0" w:space="0" w:color="auto"/>
        <w:left w:val="none" w:sz="0" w:space="0" w:color="auto"/>
        <w:bottom w:val="none" w:sz="0" w:space="0" w:color="auto"/>
        <w:right w:val="none" w:sz="0" w:space="0" w:color="auto"/>
      </w:divBdr>
    </w:div>
    <w:div w:id="649947019">
      <w:bodyDiv w:val="1"/>
      <w:marLeft w:val="0"/>
      <w:marRight w:val="0"/>
      <w:marTop w:val="0"/>
      <w:marBottom w:val="0"/>
      <w:divBdr>
        <w:top w:val="none" w:sz="0" w:space="0" w:color="auto"/>
        <w:left w:val="none" w:sz="0" w:space="0" w:color="auto"/>
        <w:bottom w:val="none" w:sz="0" w:space="0" w:color="auto"/>
        <w:right w:val="none" w:sz="0" w:space="0" w:color="auto"/>
      </w:divBdr>
    </w:div>
    <w:div w:id="707217443">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882787812">
      <w:bodyDiv w:val="1"/>
      <w:marLeft w:val="0"/>
      <w:marRight w:val="0"/>
      <w:marTop w:val="0"/>
      <w:marBottom w:val="0"/>
      <w:divBdr>
        <w:top w:val="none" w:sz="0" w:space="0" w:color="auto"/>
        <w:left w:val="none" w:sz="0" w:space="0" w:color="auto"/>
        <w:bottom w:val="none" w:sz="0" w:space="0" w:color="auto"/>
        <w:right w:val="none" w:sz="0" w:space="0" w:color="auto"/>
      </w:divBdr>
    </w:div>
    <w:div w:id="1430928449">
      <w:bodyDiv w:val="1"/>
      <w:marLeft w:val="0"/>
      <w:marRight w:val="0"/>
      <w:marTop w:val="0"/>
      <w:marBottom w:val="0"/>
      <w:divBdr>
        <w:top w:val="none" w:sz="0" w:space="0" w:color="auto"/>
        <w:left w:val="none" w:sz="0" w:space="0" w:color="auto"/>
        <w:bottom w:val="none" w:sz="0" w:space="0" w:color="auto"/>
        <w:right w:val="none" w:sz="0" w:space="0" w:color="auto"/>
      </w:divBdr>
    </w:div>
    <w:div w:id="1484737474">
      <w:bodyDiv w:val="1"/>
      <w:marLeft w:val="0"/>
      <w:marRight w:val="0"/>
      <w:marTop w:val="0"/>
      <w:marBottom w:val="0"/>
      <w:divBdr>
        <w:top w:val="none" w:sz="0" w:space="0" w:color="auto"/>
        <w:left w:val="none" w:sz="0" w:space="0" w:color="auto"/>
        <w:bottom w:val="none" w:sz="0" w:space="0" w:color="auto"/>
        <w:right w:val="none" w:sz="0" w:space="0" w:color="auto"/>
      </w:divBdr>
    </w:div>
    <w:div w:id="1561865093">
      <w:bodyDiv w:val="1"/>
      <w:marLeft w:val="0"/>
      <w:marRight w:val="0"/>
      <w:marTop w:val="0"/>
      <w:marBottom w:val="0"/>
      <w:divBdr>
        <w:top w:val="none" w:sz="0" w:space="0" w:color="auto"/>
        <w:left w:val="none" w:sz="0" w:space="0" w:color="auto"/>
        <w:bottom w:val="none" w:sz="0" w:space="0" w:color="auto"/>
        <w:right w:val="none" w:sz="0" w:space="0" w:color="auto"/>
      </w:divBdr>
    </w:div>
    <w:div w:id="1609006150">
      <w:bodyDiv w:val="1"/>
      <w:marLeft w:val="0"/>
      <w:marRight w:val="0"/>
      <w:marTop w:val="0"/>
      <w:marBottom w:val="0"/>
      <w:divBdr>
        <w:top w:val="none" w:sz="0" w:space="0" w:color="auto"/>
        <w:left w:val="none" w:sz="0" w:space="0" w:color="auto"/>
        <w:bottom w:val="none" w:sz="0" w:space="0" w:color="auto"/>
        <w:right w:val="none" w:sz="0" w:space="0" w:color="auto"/>
      </w:divBdr>
      <w:divsChild>
        <w:div w:id="439371492">
          <w:marLeft w:val="0"/>
          <w:marRight w:val="0"/>
          <w:marTop w:val="0"/>
          <w:marBottom w:val="0"/>
          <w:divBdr>
            <w:top w:val="none" w:sz="0" w:space="0" w:color="auto"/>
            <w:left w:val="none" w:sz="0" w:space="0" w:color="auto"/>
            <w:bottom w:val="none" w:sz="0" w:space="0" w:color="auto"/>
            <w:right w:val="none" w:sz="0" w:space="0" w:color="auto"/>
          </w:divBdr>
        </w:div>
        <w:div w:id="640353638">
          <w:marLeft w:val="0"/>
          <w:marRight w:val="0"/>
          <w:marTop w:val="0"/>
          <w:marBottom w:val="0"/>
          <w:divBdr>
            <w:top w:val="none" w:sz="0" w:space="0" w:color="auto"/>
            <w:left w:val="none" w:sz="0" w:space="0" w:color="auto"/>
            <w:bottom w:val="none" w:sz="0" w:space="0" w:color="auto"/>
            <w:right w:val="none" w:sz="0" w:space="0" w:color="auto"/>
          </w:divBdr>
        </w:div>
        <w:div w:id="285505176">
          <w:marLeft w:val="0"/>
          <w:marRight w:val="0"/>
          <w:marTop w:val="0"/>
          <w:marBottom w:val="0"/>
          <w:divBdr>
            <w:top w:val="none" w:sz="0" w:space="0" w:color="auto"/>
            <w:left w:val="none" w:sz="0" w:space="0" w:color="auto"/>
            <w:bottom w:val="none" w:sz="0" w:space="0" w:color="auto"/>
            <w:right w:val="none" w:sz="0" w:space="0" w:color="auto"/>
          </w:divBdr>
        </w:div>
        <w:div w:id="1084494585">
          <w:marLeft w:val="0"/>
          <w:marRight w:val="0"/>
          <w:marTop w:val="0"/>
          <w:marBottom w:val="0"/>
          <w:divBdr>
            <w:top w:val="none" w:sz="0" w:space="0" w:color="auto"/>
            <w:left w:val="none" w:sz="0" w:space="0" w:color="auto"/>
            <w:bottom w:val="none" w:sz="0" w:space="0" w:color="auto"/>
            <w:right w:val="none" w:sz="0" w:space="0" w:color="auto"/>
          </w:divBdr>
        </w:div>
        <w:div w:id="1735735336">
          <w:marLeft w:val="0"/>
          <w:marRight w:val="0"/>
          <w:marTop w:val="0"/>
          <w:marBottom w:val="0"/>
          <w:divBdr>
            <w:top w:val="none" w:sz="0" w:space="0" w:color="auto"/>
            <w:left w:val="none" w:sz="0" w:space="0" w:color="auto"/>
            <w:bottom w:val="none" w:sz="0" w:space="0" w:color="auto"/>
            <w:right w:val="none" w:sz="0" w:space="0" w:color="auto"/>
          </w:divBdr>
        </w:div>
        <w:div w:id="2080131289">
          <w:marLeft w:val="0"/>
          <w:marRight w:val="0"/>
          <w:marTop w:val="0"/>
          <w:marBottom w:val="0"/>
          <w:divBdr>
            <w:top w:val="none" w:sz="0" w:space="0" w:color="auto"/>
            <w:left w:val="none" w:sz="0" w:space="0" w:color="auto"/>
            <w:bottom w:val="none" w:sz="0" w:space="0" w:color="auto"/>
            <w:right w:val="none" w:sz="0" w:space="0" w:color="auto"/>
          </w:divBdr>
        </w:div>
        <w:div w:id="1525553273">
          <w:marLeft w:val="0"/>
          <w:marRight w:val="0"/>
          <w:marTop w:val="0"/>
          <w:marBottom w:val="0"/>
          <w:divBdr>
            <w:top w:val="none" w:sz="0" w:space="0" w:color="auto"/>
            <w:left w:val="none" w:sz="0" w:space="0" w:color="auto"/>
            <w:bottom w:val="none" w:sz="0" w:space="0" w:color="auto"/>
            <w:right w:val="none" w:sz="0" w:space="0" w:color="auto"/>
          </w:divBdr>
        </w:div>
        <w:div w:id="1755009290">
          <w:marLeft w:val="0"/>
          <w:marRight w:val="0"/>
          <w:marTop w:val="0"/>
          <w:marBottom w:val="0"/>
          <w:divBdr>
            <w:top w:val="none" w:sz="0" w:space="0" w:color="auto"/>
            <w:left w:val="none" w:sz="0" w:space="0" w:color="auto"/>
            <w:bottom w:val="none" w:sz="0" w:space="0" w:color="auto"/>
            <w:right w:val="none" w:sz="0" w:space="0" w:color="auto"/>
          </w:divBdr>
        </w:div>
        <w:div w:id="497575777">
          <w:marLeft w:val="0"/>
          <w:marRight w:val="0"/>
          <w:marTop w:val="0"/>
          <w:marBottom w:val="0"/>
          <w:divBdr>
            <w:top w:val="none" w:sz="0" w:space="0" w:color="auto"/>
            <w:left w:val="none" w:sz="0" w:space="0" w:color="auto"/>
            <w:bottom w:val="none" w:sz="0" w:space="0" w:color="auto"/>
            <w:right w:val="none" w:sz="0" w:space="0" w:color="auto"/>
          </w:divBdr>
        </w:div>
        <w:div w:id="183174607">
          <w:marLeft w:val="0"/>
          <w:marRight w:val="0"/>
          <w:marTop w:val="0"/>
          <w:marBottom w:val="0"/>
          <w:divBdr>
            <w:top w:val="none" w:sz="0" w:space="0" w:color="auto"/>
            <w:left w:val="none" w:sz="0" w:space="0" w:color="auto"/>
            <w:bottom w:val="none" w:sz="0" w:space="0" w:color="auto"/>
            <w:right w:val="none" w:sz="0" w:space="0" w:color="auto"/>
          </w:divBdr>
        </w:div>
        <w:div w:id="1880243286">
          <w:marLeft w:val="0"/>
          <w:marRight w:val="0"/>
          <w:marTop w:val="0"/>
          <w:marBottom w:val="0"/>
          <w:divBdr>
            <w:top w:val="none" w:sz="0" w:space="0" w:color="auto"/>
            <w:left w:val="none" w:sz="0" w:space="0" w:color="auto"/>
            <w:bottom w:val="none" w:sz="0" w:space="0" w:color="auto"/>
            <w:right w:val="none" w:sz="0" w:space="0" w:color="auto"/>
          </w:divBdr>
        </w:div>
        <w:div w:id="950668835">
          <w:marLeft w:val="0"/>
          <w:marRight w:val="0"/>
          <w:marTop w:val="0"/>
          <w:marBottom w:val="0"/>
          <w:divBdr>
            <w:top w:val="none" w:sz="0" w:space="0" w:color="auto"/>
            <w:left w:val="none" w:sz="0" w:space="0" w:color="auto"/>
            <w:bottom w:val="none" w:sz="0" w:space="0" w:color="auto"/>
            <w:right w:val="none" w:sz="0" w:space="0" w:color="auto"/>
          </w:divBdr>
        </w:div>
        <w:div w:id="1572807755">
          <w:marLeft w:val="0"/>
          <w:marRight w:val="0"/>
          <w:marTop w:val="0"/>
          <w:marBottom w:val="0"/>
          <w:divBdr>
            <w:top w:val="none" w:sz="0" w:space="0" w:color="auto"/>
            <w:left w:val="none" w:sz="0" w:space="0" w:color="auto"/>
            <w:bottom w:val="none" w:sz="0" w:space="0" w:color="auto"/>
            <w:right w:val="none" w:sz="0" w:space="0" w:color="auto"/>
          </w:divBdr>
        </w:div>
        <w:div w:id="1753166003">
          <w:marLeft w:val="0"/>
          <w:marRight w:val="0"/>
          <w:marTop w:val="0"/>
          <w:marBottom w:val="0"/>
          <w:divBdr>
            <w:top w:val="none" w:sz="0" w:space="0" w:color="auto"/>
            <w:left w:val="none" w:sz="0" w:space="0" w:color="auto"/>
            <w:bottom w:val="none" w:sz="0" w:space="0" w:color="auto"/>
            <w:right w:val="none" w:sz="0" w:space="0" w:color="auto"/>
          </w:divBdr>
        </w:div>
        <w:div w:id="1822187003">
          <w:marLeft w:val="0"/>
          <w:marRight w:val="0"/>
          <w:marTop w:val="0"/>
          <w:marBottom w:val="0"/>
          <w:divBdr>
            <w:top w:val="none" w:sz="0" w:space="0" w:color="auto"/>
            <w:left w:val="none" w:sz="0" w:space="0" w:color="auto"/>
            <w:bottom w:val="none" w:sz="0" w:space="0" w:color="auto"/>
            <w:right w:val="none" w:sz="0" w:space="0" w:color="auto"/>
          </w:divBdr>
        </w:div>
        <w:div w:id="303237810">
          <w:marLeft w:val="0"/>
          <w:marRight w:val="0"/>
          <w:marTop w:val="0"/>
          <w:marBottom w:val="0"/>
          <w:divBdr>
            <w:top w:val="none" w:sz="0" w:space="0" w:color="auto"/>
            <w:left w:val="none" w:sz="0" w:space="0" w:color="auto"/>
            <w:bottom w:val="none" w:sz="0" w:space="0" w:color="auto"/>
            <w:right w:val="none" w:sz="0" w:space="0" w:color="auto"/>
          </w:divBdr>
        </w:div>
        <w:div w:id="1306203972">
          <w:marLeft w:val="0"/>
          <w:marRight w:val="0"/>
          <w:marTop w:val="0"/>
          <w:marBottom w:val="0"/>
          <w:divBdr>
            <w:top w:val="none" w:sz="0" w:space="0" w:color="auto"/>
            <w:left w:val="none" w:sz="0" w:space="0" w:color="auto"/>
            <w:bottom w:val="none" w:sz="0" w:space="0" w:color="auto"/>
            <w:right w:val="none" w:sz="0" w:space="0" w:color="auto"/>
          </w:divBdr>
        </w:div>
        <w:div w:id="603391526">
          <w:marLeft w:val="0"/>
          <w:marRight w:val="0"/>
          <w:marTop w:val="0"/>
          <w:marBottom w:val="0"/>
          <w:divBdr>
            <w:top w:val="none" w:sz="0" w:space="0" w:color="auto"/>
            <w:left w:val="none" w:sz="0" w:space="0" w:color="auto"/>
            <w:bottom w:val="none" w:sz="0" w:space="0" w:color="auto"/>
            <w:right w:val="none" w:sz="0" w:space="0" w:color="auto"/>
          </w:divBdr>
        </w:div>
      </w:divsChild>
    </w:div>
    <w:div w:id="1843230380">
      <w:bodyDiv w:val="1"/>
      <w:marLeft w:val="0"/>
      <w:marRight w:val="0"/>
      <w:marTop w:val="0"/>
      <w:marBottom w:val="0"/>
      <w:divBdr>
        <w:top w:val="none" w:sz="0" w:space="0" w:color="auto"/>
        <w:left w:val="none" w:sz="0" w:space="0" w:color="auto"/>
        <w:bottom w:val="none" w:sz="0" w:space="0" w:color="auto"/>
        <w:right w:val="none" w:sz="0" w:space="0" w:color="auto"/>
      </w:divBdr>
    </w:div>
    <w:div w:id="1875969273">
      <w:bodyDiv w:val="1"/>
      <w:marLeft w:val="0"/>
      <w:marRight w:val="0"/>
      <w:marTop w:val="0"/>
      <w:marBottom w:val="0"/>
      <w:divBdr>
        <w:top w:val="none" w:sz="0" w:space="0" w:color="auto"/>
        <w:left w:val="none" w:sz="0" w:space="0" w:color="auto"/>
        <w:bottom w:val="none" w:sz="0" w:space="0" w:color="auto"/>
        <w:right w:val="none" w:sz="0" w:space="0" w:color="auto"/>
      </w:divBdr>
    </w:div>
    <w:div w:id="2043361089">
      <w:bodyDiv w:val="1"/>
      <w:marLeft w:val="0"/>
      <w:marRight w:val="0"/>
      <w:marTop w:val="0"/>
      <w:marBottom w:val="0"/>
      <w:divBdr>
        <w:top w:val="none" w:sz="0" w:space="0" w:color="auto"/>
        <w:left w:val="none" w:sz="0" w:space="0" w:color="auto"/>
        <w:bottom w:val="none" w:sz="0" w:space="0" w:color="auto"/>
        <w:right w:val="none" w:sz="0" w:space="0" w:color="auto"/>
      </w:divBdr>
    </w:div>
    <w:div w:id="21267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customXml" Target="../customXml/item2.xml"/><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png"/><Relationship Id="rId5" Type="http://schemas.openxmlformats.org/officeDocument/2006/relationships/webSettings" Target="webSettings.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8" Type="http://schemas.openxmlformats.org/officeDocument/2006/relationships/image" Target="media/image1.png"/><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header" Target="header1.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png"/><Relationship Id="rId81" Type="http://schemas.openxmlformats.org/officeDocument/2006/relationships/footer" Target="footer1.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61" Type="http://schemas.openxmlformats.org/officeDocument/2006/relationships/image" Target="media/image54.emf"/><Relationship Id="rId8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482F35AF7736F478A5B50C4578A8941" ma:contentTypeVersion="4" ma:contentTypeDescription="Crear nuevo documento." ma:contentTypeScope="" ma:versionID="f196f8ad916f010b6c507eac9db26024">
  <xsd:schema xmlns:xsd="http://www.w3.org/2001/XMLSchema" xmlns:xs="http://www.w3.org/2001/XMLSchema" xmlns:p="http://schemas.microsoft.com/office/2006/metadata/properties" xmlns:ns2="1d950c57-783c-4ce2-abde-1e07909cfafd" xmlns:ns3="a5b49f41-5d12-4f49-93db-d7474655b2cb" targetNamespace="http://schemas.microsoft.com/office/2006/metadata/properties" ma:root="true" ma:fieldsID="73575e75a82a52290b070fefdf055d85" ns2:_="" ns3:_="">
    <xsd:import namespace="1d950c57-783c-4ce2-abde-1e07909cfafd"/>
    <xsd:import namespace="a5b49f41-5d12-4f49-93db-d7474655b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0c57-783c-4ce2-abde-1e07909c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49f41-5d12-4f49-93db-d7474655b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5C60E-F87E-4D05-9370-5A9BF7976FCD}">
  <ds:schemaRefs>
    <ds:schemaRef ds:uri="http://schemas.openxmlformats.org/officeDocument/2006/bibliography"/>
  </ds:schemaRefs>
</ds:datastoreItem>
</file>

<file path=customXml/itemProps2.xml><?xml version="1.0" encoding="utf-8"?>
<ds:datastoreItem xmlns:ds="http://schemas.openxmlformats.org/officeDocument/2006/customXml" ds:itemID="{8321F3D4-D2E5-4892-9DB9-17A66F581C1C}"/>
</file>

<file path=customXml/itemProps3.xml><?xml version="1.0" encoding="utf-8"?>
<ds:datastoreItem xmlns:ds="http://schemas.openxmlformats.org/officeDocument/2006/customXml" ds:itemID="{490E5B2E-C8F2-4A02-9DAA-11F69658D616}"/>
</file>

<file path=customXml/itemProps4.xml><?xml version="1.0" encoding="utf-8"?>
<ds:datastoreItem xmlns:ds="http://schemas.openxmlformats.org/officeDocument/2006/customXml" ds:itemID="{DFEC21E7-517D-4AD0-90CB-606D41FD1D7F}"/>
</file>

<file path=docProps/app.xml><?xml version="1.0" encoding="utf-8"?>
<Properties xmlns="http://schemas.openxmlformats.org/officeDocument/2006/extended-properties" xmlns:vt="http://schemas.openxmlformats.org/officeDocument/2006/docPropsVTypes">
  <Template>Normal</Template>
  <TotalTime>43</TotalTime>
  <Pages>53</Pages>
  <Words>14348</Words>
  <Characters>78918</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Jesús Castillo Caicedo;Jackson Stewar Ackine Leguizamo</dc:creator>
  <cp:keywords/>
  <dc:description/>
  <cp:lastModifiedBy>Jose Vicente Hernandez Boita</cp:lastModifiedBy>
  <cp:revision>4</cp:revision>
  <cp:lastPrinted>2022-01-19T21:02:00Z</cp:lastPrinted>
  <dcterms:created xsi:type="dcterms:W3CDTF">2022-04-29T12:50:00Z</dcterms:created>
  <dcterms:modified xsi:type="dcterms:W3CDTF">2022-04-29T13:41:00Z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0x0101000482F35AF7736F478A5B50C4578A8941</vt:lpwstr>
  </property>
</Properties>
</file>