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8663" w14:textId="77777777" w:rsidR="00330153" w:rsidRPr="00AB34B2" w:rsidRDefault="00330153" w:rsidP="00AB34B2">
      <w:pPr>
        <w:pStyle w:val="Default"/>
        <w:ind w:right="-1"/>
        <w:jc w:val="center"/>
        <w:rPr>
          <w:b/>
          <w:color w:val="auto"/>
        </w:rPr>
      </w:pPr>
      <w:r w:rsidRPr="00AB34B2">
        <w:rPr>
          <w:b/>
          <w:color w:val="auto"/>
        </w:rPr>
        <w:t>MEMORIA JUSTIFICATIVA</w:t>
      </w:r>
    </w:p>
    <w:p w14:paraId="73457182" w14:textId="77777777" w:rsidR="00330153" w:rsidRPr="00AB34B2" w:rsidRDefault="00330153" w:rsidP="00AB34B2">
      <w:pPr>
        <w:pStyle w:val="Default"/>
        <w:ind w:right="-1"/>
        <w:jc w:val="center"/>
        <w:rPr>
          <w:b/>
          <w:color w:val="auto"/>
        </w:rPr>
      </w:pPr>
      <w:r w:rsidRPr="00AB34B2">
        <w:rPr>
          <w:b/>
          <w:color w:val="auto"/>
        </w:rPr>
        <w:t>PROYECTO DE DECRETO</w:t>
      </w:r>
    </w:p>
    <w:p w14:paraId="4A20777F" w14:textId="77777777" w:rsidR="00330153" w:rsidRPr="00AB34B2" w:rsidRDefault="00330153" w:rsidP="00AB34B2">
      <w:pPr>
        <w:pStyle w:val="Default"/>
        <w:ind w:right="-1"/>
        <w:jc w:val="both"/>
        <w:rPr>
          <w:b/>
          <w:color w:val="auto"/>
        </w:rPr>
      </w:pPr>
    </w:p>
    <w:p w14:paraId="5A9512EF" w14:textId="77777777" w:rsidR="00330153" w:rsidRPr="00AB34B2" w:rsidRDefault="00330153" w:rsidP="00AB34B2">
      <w:pPr>
        <w:pStyle w:val="Default"/>
        <w:ind w:right="-1"/>
        <w:jc w:val="center"/>
        <w:rPr>
          <w:rFonts w:eastAsia="Times New Roman"/>
          <w:color w:val="auto"/>
          <w:lang w:eastAsia="es-CO"/>
        </w:rPr>
      </w:pPr>
      <w:r w:rsidRPr="00AB34B2">
        <w:rPr>
          <w:rFonts w:eastAsia="Times New Roman"/>
          <w:color w:val="auto"/>
          <w:lang w:eastAsia="es-CO"/>
        </w:rPr>
        <w:t>«</w:t>
      </w:r>
      <w:r w:rsidRPr="00AB34B2">
        <w:rPr>
          <w:bCs/>
          <w:lang w:eastAsia="es-CO"/>
        </w:rPr>
        <w:t>Por el cual se adiciona un parágrafo transitorio al artículo 2.4.6.2.3 del Decreto 1075 de 2015</w:t>
      </w:r>
      <w:r w:rsidRPr="00AB34B2">
        <w:rPr>
          <w:rFonts w:eastAsia="Times New Roman"/>
          <w:color w:val="auto"/>
          <w:lang w:eastAsia="es-CO"/>
        </w:rPr>
        <w:t>»</w:t>
      </w:r>
    </w:p>
    <w:p w14:paraId="240445D3" w14:textId="77777777" w:rsidR="00330153" w:rsidRPr="00AB34B2" w:rsidRDefault="00330153" w:rsidP="00AB34B2">
      <w:pPr>
        <w:pStyle w:val="Default"/>
        <w:ind w:right="-1"/>
        <w:jc w:val="both"/>
        <w:rPr>
          <w:color w:val="auto"/>
        </w:rPr>
      </w:pPr>
    </w:p>
    <w:p w14:paraId="52F771D0" w14:textId="77777777" w:rsidR="00330153" w:rsidRPr="00AB34B2"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Antecedentes y razones de oportunidad y conveniencia que justifican su expedición.</w:t>
      </w:r>
    </w:p>
    <w:p w14:paraId="79D6214F" w14:textId="77777777" w:rsidR="00330153" w:rsidRPr="00AB34B2" w:rsidRDefault="00330153" w:rsidP="00AB34B2">
      <w:pPr>
        <w:spacing w:after="0" w:line="240" w:lineRule="auto"/>
        <w:ind w:right="-1"/>
        <w:jc w:val="both"/>
        <w:rPr>
          <w:rFonts w:ascii="Arial" w:hAnsi="Arial" w:cs="Arial"/>
          <w:b/>
          <w:sz w:val="24"/>
          <w:szCs w:val="24"/>
        </w:rPr>
      </w:pPr>
    </w:p>
    <w:p w14:paraId="26C8D15B" w14:textId="77777777" w:rsidR="00330153" w:rsidRPr="00AB34B2" w:rsidRDefault="00330153" w:rsidP="00AB34B2">
      <w:pPr>
        <w:spacing w:after="0" w:line="240" w:lineRule="auto"/>
        <w:jc w:val="both"/>
        <w:rPr>
          <w:rFonts w:ascii="Arial" w:hAnsi="Arial" w:cs="Arial"/>
          <w:color w:val="000000"/>
          <w:sz w:val="24"/>
          <w:szCs w:val="24"/>
          <w:lang w:eastAsia="es-CO"/>
        </w:rPr>
      </w:pPr>
      <w:bookmarkStart w:id="0" w:name="_Hlk499040448"/>
      <w:r w:rsidRPr="00AB34B2">
        <w:rPr>
          <w:rFonts w:ascii="Arial" w:hAnsi="Arial" w:cs="Arial"/>
          <w:color w:val="000000"/>
          <w:sz w:val="24"/>
          <w:szCs w:val="24"/>
          <w:lang w:eastAsia="es-CO"/>
        </w:rPr>
        <w:t>La expedición del presente Decreto surge de la necesidad de agilizar los trámites requeridos para que las entidades territoriales certificadas en educación y que cuentan con municipios priorizados por el Ministerio de Educación Nacional, para la realización de un proceso de selección de carácter especial, puedan efectuar las sustituciones de plantas requeridas para la consolidación de la oferta pública de empleos de carrera docente que será ofertada en los correspondientes acuerdos de convocatoria.</w:t>
      </w:r>
    </w:p>
    <w:p w14:paraId="01145B11" w14:textId="77777777" w:rsidR="00330153" w:rsidRPr="00AB34B2" w:rsidRDefault="00330153" w:rsidP="00AB34B2">
      <w:pPr>
        <w:spacing w:after="0" w:line="240" w:lineRule="auto"/>
        <w:jc w:val="both"/>
        <w:rPr>
          <w:rFonts w:ascii="Arial" w:hAnsi="Arial" w:cs="Arial"/>
          <w:color w:val="000000"/>
          <w:sz w:val="24"/>
          <w:szCs w:val="24"/>
          <w:lang w:eastAsia="es-CO"/>
        </w:rPr>
      </w:pPr>
    </w:p>
    <w:p w14:paraId="04F647D6" w14:textId="77777777"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color w:val="000000"/>
          <w:sz w:val="24"/>
          <w:szCs w:val="24"/>
          <w:lang w:eastAsia="es-CO"/>
        </w:rPr>
        <w:t xml:space="preserve">Según los estudios y proyecciones adelantadas por este Ministerio se requiere la sustitución de aproximadamente 1.107 vacantes de directivos docentes y docentes pertenecientes a 11 entidades territoriales, para dar cumplimiento a lo establecido en el Decreto Ley 882 de 2017 </w:t>
      </w:r>
      <w:r w:rsidRPr="00AB34B2">
        <w:rPr>
          <w:rFonts w:ascii="Arial" w:hAnsi="Arial" w:cs="Arial"/>
          <w:i/>
          <w:sz w:val="24"/>
          <w:szCs w:val="24"/>
        </w:rPr>
        <w:t>«Por el cual se adoptan normas sobre la organización y prestación del servicio educativo estatal y el ejercicio de la profesión docente en zonas afectadas por el conflicto armado»</w:t>
      </w:r>
      <w:r w:rsidRPr="00AB34B2">
        <w:rPr>
          <w:rFonts w:ascii="Arial" w:hAnsi="Arial" w:cs="Arial"/>
          <w:color w:val="000000"/>
          <w:sz w:val="24"/>
          <w:szCs w:val="24"/>
          <w:lang w:eastAsia="es-CO"/>
        </w:rPr>
        <w:t xml:space="preserve">. </w:t>
      </w:r>
    </w:p>
    <w:p w14:paraId="772E9A1B" w14:textId="77777777" w:rsidR="00330153" w:rsidRPr="00AB34B2" w:rsidRDefault="00330153" w:rsidP="00AB34B2">
      <w:pPr>
        <w:spacing w:after="0" w:line="240" w:lineRule="auto"/>
        <w:jc w:val="both"/>
        <w:rPr>
          <w:rFonts w:ascii="Arial" w:hAnsi="Arial" w:cs="Arial"/>
          <w:color w:val="000000"/>
          <w:sz w:val="24"/>
          <w:szCs w:val="24"/>
          <w:lang w:eastAsia="es-CO"/>
        </w:rPr>
      </w:pPr>
    </w:p>
    <w:p w14:paraId="51DB0071" w14:textId="77777777"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color w:val="000000"/>
          <w:sz w:val="24"/>
          <w:szCs w:val="24"/>
          <w:lang w:eastAsia="es-CO"/>
        </w:rPr>
        <w:t>El artículo 2.4.6.2.3 del Decreto 1075 de 2015 establece el procedimiento que deben adelantar las entidades territoriales certificadas en educación para realizar modificaciones en la planta de cargos docentes y directivos docentes, y administrativa, financiada con recursos del Sistema General de Participaciones, exigiendo para tal efecto, entre otros requisitos, la remisión que deben hacer al Ministerio de Educación Nacional, de una certificación expedida por el Fondo Nacional de Prestaciones Sociales del Magisterio, donde conste que las obligaciones por concepto de prestaciones de los docentes adscritos a su planta de personal están al día o en su defecto que los acuerdos de pago se están cumpliendo.</w:t>
      </w:r>
    </w:p>
    <w:p w14:paraId="59ACC897" w14:textId="77777777" w:rsidR="00330153" w:rsidRPr="00AB34B2" w:rsidRDefault="00330153" w:rsidP="00AB34B2">
      <w:pPr>
        <w:spacing w:after="0" w:line="240" w:lineRule="auto"/>
        <w:jc w:val="both"/>
        <w:rPr>
          <w:rFonts w:ascii="Arial" w:hAnsi="Arial" w:cs="Arial"/>
          <w:color w:val="000000"/>
          <w:sz w:val="24"/>
          <w:szCs w:val="24"/>
          <w:lang w:eastAsia="es-CO"/>
        </w:rPr>
      </w:pPr>
    </w:p>
    <w:p w14:paraId="54982504" w14:textId="77777777"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color w:val="000000"/>
          <w:sz w:val="24"/>
          <w:szCs w:val="24"/>
          <w:lang w:eastAsia="es-CO"/>
        </w:rPr>
        <w:t xml:space="preserve">El Decreto Ley 893 de 2017, creó los Programas de Desarrollo con Enfoque Territorial (PDET), los cuales tienen por finalidad </w:t>
      </w:r>
      <w:r w:rsidRPr="00AB34B2">
        <w:rPr>
          <w:rFonts w:ascii="Arial" w:hAnsi="Arial" w:cs="Arial"/>
          <w:i/>
          <w:color w:val="000000"/>
          <w:sz w:val="24"/>
          <w:szCs w:val="24"/>
          <w:lang w:eastAsia="es-CO"/>
        </w:rPr>
        <w:t xml:space="preserve">«la transformación estructural del campo y el ámbito rural, y un relacionamiento equitativo entre el campo y la ciudad en las zonas priorizadas a las que se refiere el artículo 3 del presente Decreto, asegurando el bienestar y el buen vivir, la protección de la riqueza pluriétnica y multicultural, el desarrollo de la economía campesina y familiar y las formas propias de producción de las pueblos, comunidades y grupos étnicos, el desarrollo y la integración de las regiones abandonadas y golpeadas por el conflicto y el reconocimiento y la promoción a las organizaciones de mujeres rurales, y hacer del campo colombiano un escenario de reconciliación» </w:t>
      </w:r>
      <w:r w:rsidRPr="00AB34B2">
        <w:rPr>
          <w:rFonts w:ascii="Arial" w:hAnsi="Arial" w:cs="Arial"/>
          <w:color w:val="000000"/>
          <w:sz w:val="24"/>
          <w:szCs w:val="24"/>
          <w:lang w:eastAsia="es-CO"/>
        </w:rPr>
        <w:t>y</w:t>
      </w:r>
      <w:r w:rsidRPr="00AB34B2">
        <w:rPr>
          <w:rFonts w:ascii="Arial" w:hAnsi="Arial" w:cs="Arial"/>
          <w:i/>
          <w:color w:val="000000"/>
          <w:sz w:val="24"/>
          <w:szCs w:val="24"/>
          <w:lang w:eastAsia="es-CO"/>
        </w:rPr>
        <w:t xml:space="preserve"> </w:t>
      </w:r>
      <w:r w:rsidRPr="00AB34B2">
        <w:rPr>
          <w:rFonts w:ascii="Arial" w:hAnsi="Arial" w:cs="Arial"/>
          <w:sz w:val="24"/>
          <w:szCs w:val="24"/>
        </w:rPr>
        <w:t>dispuso en su artículo 1 que los</w:t>
      </w:r>
      <w:r w:rsidRPr="00AB34B2">
        <w:rPr>
          <w:rFonts w:ascii="Arial" w:hAnsi="Arial" w:cs="Arial"/>
          <w:i/>
          <w:sz w:val="24"/>
          <w:szCs w:val="24"/>
        </w:rPr>
        <w:t xml:space="preserve"> «PDET se formularán por una sola vez y tendrán una vigencia de diez (10) años.</w:t>
      </w:r>
      <w:r w:rsidRPr="00AB34B2">
        <w:rPr>
          <w:rFonts w:ascii="Arial" w:hAnsi="Arial" w:cs="Arial"/>
          <w:i/>
          <w:color w:val="000000"/>
          <w:sz w:val="24"/>
          <w:szCs w:val="24"/>
          <w:lang w:eastAsia="es-CO"/>
        </w:rPr>
        <w:t xml:space="preserve"> </w:t>
      </w:r>
      <w:r w:rsidRPr="00AB34B2">
        <w:rPr>
          <w:rFonts w:ascii="Arial" w:hAnsi="Arial" w:cs="Arial"/>
          <w:i/>
          <w:sz w:val="24"/>
          <w:szCs w:val="24"/>
        </w:rPr>
        <w:t xml:space="preserve">Serán coordinados por la Agencia de Renovación del Territorio (ART), en </w:t>
      </w:r>
      <w:r w:rsidRPr="00AB34B2">
        <w:rPr>
          <w:rFonts w:ascii="Arial" w:hAnsi="Arial" w:cs="Arial"/>
          <w:i/>
          <w:sz w:val="24"/>
          <w:szCs w:val="24"/>
        </w:rPr>
        <w:lastRenderedPageBreak/>
        <w:t xml:space="preserve">ejercicio de las funciones que le son propias de conformidad con lo dispuesto en el Decreto Ley 2366 de 2015, modificado por el Decreto Ley 2096 de 2016». </w:t>
      </w:r>
    </w:p>
    <w:p w14:paraId="6BD0F453" w14:textId="77777777" w:rsidR="00330153" w:rsidRPr="00AB34B2" w:rsidRDefault="00330153" w:rsidP="00AB34B2">
      <w:pPr>
        <w:spacing w:after="0" w:line="240" w:lineRule="auto"/>
        <w:jc w:val="both"/>
        <w:rPr>
          <w:rFonts w:ascii="Arial" w:hAnsi="Arial" w:cs="Arial"/>
          <w:color w:val="000000"/>
          <w:sz w:val="24"/>
          <w:szCs w:val="24"/>
          <w:lang w:eastAsia="es-CO"/>
        </w:rPr>
      </w:pPr>
    </w:p>
    <w:p w14:paraId="4A3A073E" w14:textId="77777777"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color w:val="000000"/>
          <w:sz w:val="24"/>
          <w:szCs w:val="24"/>
          <w:lang w:eastAsia="es-CO"/>
        </w:rPr>
        <w:t>Las zonas y municipios priorizados por el artículo 3º del mencionado Decreto Ley se definieron teniendo en cuenta el nivel de victimización y afectación en el marco de las acciones reparadoras contempladas en la implementación de los PDET. Por consiguiente, en su implementación se buscará garantizar el carácter reparador para las víctimas y las comunidades, según lo establecido en los puntos 5.1.3.3.1 y 5.1.3.3.2 del Acuerdo Final del 24 de noviembre de 2016.</w:t>
      </w:r>
    </w:p>
    <w:p w14:paraId="2F34AF5D" w14:textId="77777777" w:rsidR="00330153" w:rsidRPr="00AB34B2" w:rsidRDefault="00330153" w:rsidP="00AB34B2">
      <w:pPr>
        <w:spacing w:after="0" w:line="240" w:lineRule="auto"/>
        <w:jc w:val="both"/>
        <w:rPr>
          <w:rFonts w:ascii="Arial" w:hAnsi="Arial" w:cs="Arial"/>
          <w:color w:val="000000"/>
          <w:sz w:val="24"/>
          <w:szCs w:val="24"/>
          <w:lang w:eastAsia="es-CO"/>
        </w:rPr>
      </w:pPr>
    </w:p>
    <w:p w14:paraId="13385476" w14:textId="77777777"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sz w:val="24"/>
          <w:szCs w:val="24"/>
        </w:rPr>
        <w:t xml:space="preserve">A su vez el artículo 2 del Decreto Ley 882 de 2017 establece: </w:t>
      </w:r>
      <w:r w:rsidRPr="00AB34B2">
        <w:rPr>
          <w:rFonts w:ascii="Arial" w:hAnsi="Arial" w:cs="Arial"/>
          <w:i/>
          <w:sz w:val="24"/>
          <w:szCs w:val="24"/>
        </w:rPr>
        <w:t>«</w:t>
      </w:r>
      <w:r w:rsidRPr="00AB34B2">
        <w:rPr>
          <w:rFonts w:ascii="Arial" w:hAnsi="Arial" w:cs="Arial"/>
          <w:b/>
          <w:i/>
          <w:sz w:val="24"/>
          <w:szCs w:val="24"/>
        </w:rPr>
        <w:t>Organización de las plantas de cargos para zonas afectadas por el conflicto.</w:t>
      </w:r>
      <w:r w:rsidRPr="00AB34B2">
        <w:rPr>
          <w:rFonts w:ascii="Arial" w:hAnsi="Arial" w:cs="Arial"/>
          <w:i/>
          <w:sz w:val="24"/>
          <w:szCs w:val="24"/>
        </w:rPr>
        <w:t xml:space="preserve"> Dentro de la planta de cargos docentes y directivos docentes de las entidades territoriales certificadas, previa viabilidad técnica y financiera del Ministerio de Educación y análisis del comportamiento histórico de la matrícula, se definirá una planta de cargos destinada exclusivamente a la prestación del servicio educativo en instituciones educativas ubicadas en las zonas afectadas por el conflicto armado que se definan de conformidad con el parágrafo 1 del artículo anterior. La definición de la planta de cargos tendrá como base la distribución eficiente de las plantas de cargos docentes y directivos docentes existentes en la respectiva entidad territorial certificada, y su ampliación estará sujeta a la sustitución de la matrícula contratada, siempre y cuando no supere los costos de dicha contratación».</w:t>
      </w:r>
    </w:p>
    <w:p w14:paraId="730CE5E4" w14:textId="77777777" w:rsidR="00330153" w:rsidRPr="00AB34B2" w:rsidRDefault="00330153" w:rsidP="00AB34B2">
      <w:pPr>
        <w:spacing w:after="0" w:line="240" w:lineRule="auto"/>
        <w:jc w:val="both"/>
        <w:rPr>
          <w:rFonts w:ascii="Arial" w:hAnsi="Arial" w:cs="Arial"/>
          <w:color w:val="000000"/>
          <w:sz w:val="24"/>
          <w:szCs w:val="24"/>
          <w:lang w:eastAsia="es-CO"/>
        </w:rPr>
      </w:pPr>
    </w:p>
    <w:p w14:paraId="50DC506A" w14:textId="77777777"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color w:val="000000"/>
          <w:sz w:val="24"/>
          <w:szCs w:val="24"/>
          <w:lang w:eastAsia="es-CO"/>
        </w:rPr>
        <w:t>Es preciso recordar que un deber del Gobierno Nacional es el de prever nuevas necesidades de cargos docentes para las Zonas Priorizadas con PDET sin afectar las acciones reparadoras contempladas en dichos programas que, entre otras cosas, pueden estar orientadas a favorecer el retorno de grupos poblacionales desplazados por el conflicto y a mejorar la prestación del servicio educativo estatal en sus respectivas jurisdicciones.</w:t>
      </w:r>
    </w:p>
    <w:p w14:paraId="2F05E4A0" w14:textId="77777777" w:rsidR="00330153" w:rsidRPr="00AB34B2" w:rsidRDefault="00330153" w:rsidP="00AB34B2">
      <w:pPr>
        <w:spacing w:after="0" w:line="240" w:lineRule="auto"/>
        <w:jc w:val="both"/>
        <w:rPr>
          <w:rFonts w:ascii="Arial" w:hAnsi="Arial" w:cs="Arial"/>
          <w:color w:val="000000"/>
          <w:sz w:val="24"/>
          <w:szCs w:val="24"/>
          <w:lang w:eastAsia="es-CO"/>
        </w:rPr>
      </w:pPr>
    </w:p>
    <w:p w14:paraId="10209A1B" w14:textId="718D0AD2" w:rsidR="00330153" w:rsidRPr="00AB34B2" w:rsidRDefault="00330153" w:rsidP="00AB34B2">
      <w:pPr>
        <w:spacing w:after="0" w:line="240" w:lineRule="auto"/>
        <w:jc w:val="both"/>
        <w:rPr>
          <w:rFonts w:ascii="Arial" w:hAnsi="Arial" w:cs="Arial"/>
          <w:color w:val="000000"/>
          <w:sz w:val="24"/>
          <w:szCs w:val="24"/>
          <w:lang w:eastAsia="es-CO"/>
        </w:rPr>
      </w:pPr>
      <w:r w:rsidRPr="00AB34B2">
        <w:rPr>
          <w:rFonts w:ascii="Arial" w:hAnsi="Arial" w:cs="Arial"/>
          <w:color w:val="000000"/>
          <w:sz w:val="24"/>
          <w:szCs w:val="24"/>
          <w:lang w:eastAsia="es-CO"/>
        </w:rPr>
        <w:t>De conformidad con lo anterior, es deber del Gobierno Nacional superar todo tipo de limitaciones administrativas que puedan obstaculizar la prestación del servicio educativo estatal en condiciones de calidad como uno de los componentes para la efectiva reparación de la población afectada por el conflicto y de esta forma dar cumplimiento a lo establecid</w:t>
      </w:r>
      <w:r w:rsidR="0000008D" w:rsidRPr="00AB34B2">
        <w:rPr>
          <w:rFonts w:ascii="Arial" w:hAnsi="Arial" w:cs="Arial"/>
          <w:color w:val="000000"/>
          <w:sz w:val="24"/>
          <w:szCs w:val="24"/>
          <w:lang w:eastAsia="es-CO"/>
        </w:rPr>
        <w:t>o en el Decreto Ley 882 de 2017.</w:t>
      </w:r>
    </w:p>
    <w:p w14:paraId="4AE512C6" w14:textId="77777777" w:rsidR="0000008D" w:rsidRPr="00AB34B2" w:rsidRDefault="0000008D" w:rsidP="00AB34B2">
      <w:pPr>
        <w:spacing w:after="0" w:line="240" w:lineRule="auto"/>
        <w:jc w:val="both"/>
        <w:rPr>
          <w:rFonts w:ascii="Arial" w:hAnsi="Arial" w:cs="Arial"/>
          <w:color w:val="000000"/>
          <w:sz w:val="24"/>
          <w:szCs w:val="24"/>
          <w:lang w:eastAsia="es-CO"/>
        </w:rPr>
      </w:pPr>
    </w:p>
    <w:bookmarkEnd w:id="0"/>
    <w:p w14:paraId="0EE0430A" w14:textId="77777777" w:rsidR="00330153" w:rsidRPr="00AB34B2"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El ámbito de aplicación del respectivo acto y los sujetos a quienes va dirigido.</w:t>
      </w:r>
    </w:p>
    <w:p w14:paraId="4C7885EA" w14:textId="77777777" w:rsidR="00330153" w:rsidRPr="00AB34B2" w:rsidRDefault="00330153" w:rsidP="00AB34B2">
      <w:pPr>
        <w:pStyle w:val="NormalWeb"/>
        <w:spacing w:before="0" w:beforeAutospacing="0" w:after="0" w:afterAutospacing="0"/>
        <w:ind w:right="-1"/>
        <w:rPr>
          <w:rFonts w:ascii="Arial" w:eastAsia="Times New Roman" w:hAnsi="Arial" w:cs="Arial"/>
        </w:rPr>
      </w:pPr>
    </w:p>
    <w:p w14:paraId="46B62D16" w14:textId="77777777" w:rsidR="00330153" w:rsidRPr="00AB34B2" w:rsidRDefault="00330153" w:rsidP="00AB34B2">
      <w:pPr>
        <w:pStyle w:val="CUERPOTEXTO"/>
        <w:spacing w:before="0" w:after="0" w:line="240" w:lineRule="auto"/>
        <w:ind w:firstLine="0"/>
        <w:rPr>
          <w:rFonts w:ascii="Arial" w:hAnsi="Arial" w:cs="Arial"/>
          <w:color w:val="auto"/>
          <w:sz w:val="24"/>
          <w:szCs w:val="24"/>
          <w:lang w:val="es-ES"/>
        </w:rPr>
      </w:pPr>
      <w:r w:rsidRPr="00AB34B2">
        <w:rPr>
          <w:rFonts w:ascii="Arial" w:hAnsi="Arial" w:cs="Arial"/>
          <w:color w:val="auto"/>
          <w:sz w:val="24"/>
          <w:szCs w:val="24"/>
          <w:lang w:val="es-ES"/>
        </w:rPr>
        <w:t xml:space="preserve">La norma tiene como ámbito de aplicación los siguientes destinatarios: </w:t>
      </w:r>
    </w:p>
    <w:p w14:paraId="55EC7EFB" w14:textId="77777777" w:rsidR="00330153" w:rsidRPr="00AB34B2" w:rsidRDefault="00330153" w:rsidP="00AB34B2">
      <w:pPr>
        <w:pStyle w:val="CUERPOTEXTO"/>
        <w:spacing w:before="0" w:after="0" w:line="240" w:lineRule="auto"/>
        <w:ind w:firstLine="0"/>
        <w:rPr>
          <w:rFonts w:ascii="Arial" w:hAnsi="Arial" w:cs="Arial"/>
          <w:color w:val="auto"/>
          <w:sz w:val="24"/>
          <w:szCs w:val="24"/>
          <w:lang w:val="es-ES"/>
        </w:rPr>
      </w:pPr>
    </w:p>
    <w:p w14:paraId="6CD042CA" w14:textId="77777777" w:rsidR="00330153" w:rsidRPr="00AB34B2" w:rsidRDefault="00330153" w:rsidP="00AB34B2">
      <w:pPr>
        <w:pStyle w:val="Prrafodelista"/>
        <w:numPr>
          <w:ilvl w:val="1"/>
          <w:numId w:val="10"/>
        </w:numPr>
        <w:spacing w:after="0" w:line="240" w:lineRule="auto"/>
        <w:jc w:val="both"/>
        <w:rPr>
          <w:rFonts w:ascii="Arial" w:hAnsi="Arial" w:cs="Arial"/>
          <w:sz w:val="24"/>
          <w:szCs w:val="24"/>
        </w:rPr>
      </w:pPr>
      <w:r w:rsidRPr="00AB34B2">
        <w:rPr>
          <w:rFonts w:ascii="Arial" w:hAnsi="Arial" w:cs="Arial"/>
          <w:sz w:val="24"/>
          <w:szCs w:val="24"/>
        </w:rPr>
        <w:t>Ministerio de Educación Nacional, como ente rector del Sector Educación.</w:t>
      </w:r>
    </w:p>
    <w:p w14:paraId="0C9F36E6" w14:textId="77777777" w:rsidR="00330153" w:rsidRPr="00AB34B2" w:rsidRDefault="00330153" w:rsidP="00AB34B2">
      <w:pPr>
        <w:pStyle w:val="Prrafodelista"/>
        <w:spacing w:after="0" w:line="240" w:lineRule="auto"/>
        <w:jc w:val="both"/>
        <w:rPr>
          <w:rFonts w:ascii="Arial" w:hAnsi="Arial" w:cs="Arial"/>
          <w:sz w:val="24"/>
          <w:szCs w:val="24"/>
        </w:rPr>
      </w:pPr>
      <w:r w:rsidRPr="00AB34B2">
        <w:rPr>
          <w:rFonts w:ascii="Arial" w:hAnsi="Arial" w:cs="Arial"/>
          <w:sz w:val="24"/>
          <w:szCs w:val="24"/>
        </w:rPr>
        <w:t xml:space="preserve"> </w:t>
      </w:r>
    </w:p>
    <w:p w14:paraId="5309BE3D" w14:textId="77777777" w:rsidR="00330153" w:rsidRPr="00AB34B2" w:rsidRDefault="00330153" w:rsidP="00AB34B2">
      <w:pPr>
        <w:pStyle w:val="Prrafodelista"/>
        <w:numPr>
          <w:ilvl w:val="1"/>
          <w:numId w:val="10"/>
        </w:numPr>
        <w:spacing w:after="0" w:line="240" w:lineRule="auto"/>
        <w:jc w:val="both"/>
        <w:rPr>
          <w:rFonts w:ascii="Arial" w:hAnsi="Arial" w:cs="Arial"/>
          <w:sz w:val="24"/>
          <w:szCs w:val="24"/>
        </w:rPr>
      </w:pPr>
      <w:r w:rsidRPr="00AB34B2">
        <w:rPr>
          <w:rFonts w:ascii="Arial" w:hAnsi="Arial" w:cs="Arial"/>
          <w:sz w:val="24"/>
          <w:szCs w:val="24"/>
        </w:rPr>
        <w:t xml:space="preserve">Las entidades territoriales certificadas en educación, en su calidad de ente nominador de los educadores oficiales. </w:t>
      </w:r>
    </w:p>
    <w:p w14:paraId="37D41C34" w14:textId="77777777" w:rsidR="00330153" w:rsidRPr="00AB34B2" w:rsidRDefault="00330153" w:rsidP="00AB34B2">
      <w:pPr>
        <w:pStyle w:val="Prrafodelista"/>
        <w:spacing w:after="0" w:line="240" w:lineRule="auto"/>
        <w:rPr>
          <w:rFonts w:ascii="Arial" w:hAnsi="Arial" w:cs="Arial"/>
          <w:sz w:val="24"/>
          <w:szCs w:val="24"/>
        </w:rPr>
      </w:pPr>
    </w:p>
    <w:p w14:paraId="5F4ABBE6" w14:textId="77777777" w:rsidR="00330153" w:rsidRPr="00AB34B2" w:rsidRDefault="00330153" w:rsidP="00AB34B2">
      <w:pPr>
        <w:pStyle w:val="Prrafodelista"/>
        <w:numPr>
          <w:ilvl w:val="1"/>
          <w:numId w:val="10"/>
        </w:numPr>
        <w:spacing w:after="0" w:line="240" w:lineRule="auto"/>
        <w:jc w:val="both"/>
        <w:rPr>
          <w:rFonts w:ascii="Arial" w:hAnsi="Arial" w:cs="Arial"/>
          <w:sz w:val="24"/>
          <w:szCs w:val="24"/>
        </w:rPr>
      </w:pPr>
      <w:r w:rsidRPr="00AB34B2">
        <w:rPr>
          <w:rFonts w:ascii="Arial" w:hAnsi="Arial" w:cs="Arial"/>
          <w:iCs/>
          <w:color w:val="000000"/>
          <w:sz w:val="24"/>
          <w:szCs w:val="24"/>
          <w:lang w:eastAsia="es-CO"/>
        </w:rPr>
        <w:t>Fondo Nacional de Prestaciones Sociales del Magisterio</w:t>
      </w:r>
      <w:r w:rsidRPr="00AB34B2">
        <w:rPr>
          <w:rFonts w:ascii="Arial" w:hAnsi="Arial" w:cs="Arial"/>
          <w:sz w:val="24"/>
          <w:szCs w:val="24"/>
        </w:rPr>
        <w:t>.</w:t>
      </w:r>
    </w:p>
    <w:p w14:paraId="51174B8F" w14:textId="77777777" w:rsidR="00330153" w:rsidRPr="00AB34B2" w:rsidRDefault="00330153" w:rsidP="00AB34B2">
      <w:pPr>
        <w:spacing w:after="0" w:line="240" w:lineRule="auto"/>
        <w:jc w:val="both"/>
        <w:rPr>
          <w:rFonts w:ascii="Arial" w:hAnsi="Arial" w:cs="Arial"/>
          <w:sz w:val="24"/>
          <w:szCs w:val="24"/>
        </w:rPr>
      </w:pPr>
    </w:p>
    <w:p w14:paraId="05BA8119" w14:textId="1E72496E" w:rsidR="00330153"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La viabilidad jurídica</w:t>
      </w:r>
      <w:r w:rsidR="00B8388B">
        <w:rPr>
          <w:rFonts w:ascii="Arial" w:hAnsi="Arial" w:cs="Arial"/>
          <w:b/>
          <w:sz w:val="24"/>
          <w:szCs w:val="24"/>
        </w:rPr>
        <w:t>.</w:t>
      </w:r>
    </w:p>
    <w:p w14:paraId="1232C5EE" w14:textId="77777777" w:rsidR="00B8388B" w:rsidRDefault="00B8388B" w:rsidP="00B8388B">
      <w:pPr>
        <w:pStyle w:val="Prrafodelista"/>
        <w:spacing w:after="0" w:line="240" w:lineRule="auto"/>
        <w:ind w:left="360" w:right="-1"/>
        <w:jc w:val="both"/>
        <w:rPr>
          <w:rFonts w:ascii="Arial" w:hAnsi="Arial" w:cs="Arial"/>
          <w:b/>
          <w:sz w:val="24"/>
          <w:szCs w:val="24"/>
        </w:rPr>
      </w:pPr>
    </w:p>
    <w:p w14:paraId="509A13C9" w14:textId="40DFFAC7" w:rsidR="00330153" w:rsidRPr="00B8388B" w:rsidRDefault="00B8388B" w:rsidP="00B8388B">
      <w:pPr>
        <w:pStyle w:val="Prrafodelista"/>
        <w:numPr>
          <w:ilvl w:val="1"/>
          <w:numId w:val="9"/>
        </w:numPr>
        <w:spacing w:after="0" w:line="240" w:lineRule="auto"/>
        <w:ind w:right="-1"/>
        <w:jc w:val="both"/>
        <w:rPr>
          <w:rFonts w:ascii="Arial" w:hAnsi="Arial" w:cs="Arial"/>
          <w:b/>
          <w:sz w:val="24"/>
          <w:szCs w:val="24"/>
        </w:rPr>
      </w:pPr>
      <w:r>
        <w:rPr>
          <w:rFonts w:ascii="Arial" w:hAnsi="Arial" w:cs="Arial"/>
          <w:b/>
          <w:sz w:val="24"/>
          <w:szCs w:val="24"/>
        </w:rPr>
        <w:t xml:space="preserve"> </w:t>
      </w:r>
      <w:r w:rsidR="00330153" w:rsidRPr="00B8388B">
        <w:rPr>
          <w:rFonts w:ascii="Arial" w:hAnsi="Arial" w:cs="Arial"/>
          <w:b/>
          <w:sz w:val="24"/>
          <w:szCs w:val="24"/>
        </w:rPr>
        <w:t>Normas que otorgan la competencia.</w:t>
      </w:r>
    </w:p>
    <w:p w14:paraId="41F5DE23" w14:textId="77777777" w:rsidR="00330153" w:rsidRPr="00AB34B2" w:rsidRDefault="00330153" w:rsidP="00AB34B2">
      <w:pPr>
        <w:spacing w:after="0" w:line="240" w:lineRule="auto"/>
        <w:jc w:val="both"/>
        <w:rPr>
          <w:rFonts w:ascii="Arial" w:hAnsi="Arial" w:cs="Arial"/>
          <w:sz w:val="24"/>
          <w:szCs w:val="24"/>
          <w:highlight w:val="yellow"/>
        </w:rPr>
      </w:pPr>
    </w:p>
    <w:p w14:paraId="21DC1CD8" w14:textId="51897B84" w:rsidR="004949DF" w:rsidRPr="00AB34B2" w:rsidRDefault="00330153" w:rsidP="00AB34B2">
      <w:pPr>
        <w:spacing w:after="0" w:line="240" w:lineRule="auto"/>
        <w:jc w:val="both"/>
        <w:rPr>
          <w:rFonts w:ascii="Arial" w:hAnsi="Arial" w:cs="Arial"/>
          <w:sz w:val="24"/>
          <w:szCs w:val="24"/>
        </w:rPr>
      </w:pPr>
      <w:r w:rsidRPr="00AB34B2">
        <w:rPr>
          <w:rFonts w:ascii="Arial" w:hAnsi="Arial" w:cs="Arial"/>
          <w:sz w:val="24"/>
          <w:szCs w:val="24"/>
        </w:rPr>
        <w:t>El artículo 189 de la Constitución Política numeral 11, establece la facultad del Presidente de la República de ejercer la potestad reglamentaria, mediante la expedición de los decretos, resoluciones y órdenes necesarios para la cumplida ejecución de las leyes.</w:t>
      </w:r>
    </w:p>
    <w:p w14:paraId="27422F7F" w14:textId="77777777" w:rsidR="00AB34B2" w:rsidRDefault="00AB34B2" w:rsidP="00AB34B2">
      <w:pPr>
        <w:spacing w:after="0" w:line="240" w:lineRule="auto"/>
        <w:jc w:val="both"/>
        <w:rPr>
          <w:rFonts w:ascii="Arial" w:hAnsi="Arial" w:cs="Arial"/>
          <w:b/>
          <w:sz w:val="24"/>
          <w:szCs w:val="24"/>
        </w:rPr>
      </w:pPr>
    </w:p>
    <w:p w14:paraId="3D57463C" w14:textId="686FEF71" w:rsidR="00330153" w:rsidRPr="00AB34B2" w:rsidRDefault="00B8388B" w:rsidP="00B8388B">
      <w:pPr>
        <w:pStyle w:val="Prrafodelista"/>
        <w:numPr>
          <w:ilvl w:val="1"/>
          <w:numId w:val="9"/>
        </w:numPr>
        <w:spacing w:after="0" w:line="240" w:lineRule="auto"/>
        <w:ind w:right="-1"/>
        <w:jc w:val="both"/>
        <w:rPr>
          <w:rFonts w:ascii="Arial" w:hAnsi="Arial" w:cs="Arial"/>
          <w:b/>
          <w:sz w:val="24"/>
          <w:szCs w:val="24"/>
        </w:rPr>
      </w:pPr>
      <w:r>
        <w:rPr>
          <w:rFonts w:ascii="Arial" w:hAnsi="Arial" w:cs="Arial"/>
          <w:b/>
          <w:sz w:val="24"/>
          <w:szCs w:val="24"/>
        </w:rPr>
        <w:t xml:space="preserve"> </w:t>
      </w:r>
      <w:r w:rsidR="00330153" w:rsidRPr="00AB34B2">
        <w:rPr>
          <w:rFonts w:ascii="Arial" w:hAnsi="Arial" w:cs="Arial"/>
          <w:b/>
          <w:sz w:val="24"/>
          <w:szCs w:val="24"/>
        </w:rPr>
        <w:t>Vigencia de la ley o norma reglamentada o desarrollada.</w:t>
      </w:r>
    </w:p>
    <w:p w14:paraId="582E3BD2" w14:textId="77777777" w:rsidR="00330153" w:rsidRPr="00AB34B2" w:rsidRDefault="00330153" w:rsidP="00AB34B2">
      <w:pPr>
        <w:spacing w:after="0" w:line="240" w:lineRule="auto"/>
        <w:jc w:val="both"/>
        <w:rPr>
          <w:rFonts w:ascii="Arial" w:hAnsi="Arial" w:cs="Arial"/>
          <w:i/>
          <w:sz w:val="24"/>
          <w:szCs w:val="24"/>
        </w:rPr>
      </w:pPr>
    </w:p>
    <w:p w14:paraId="00B9C0D5" w14:textId="77777777" w:rsidR="00330153" w:rsidRPr="00AB34B2" w:rsidRDefault="00330153" w:rsidP="00AB34B2">
      <w:pPr>
        <w:spacing w:after="0" w:line="240" w:lineRule="auto"/>
        <w:jc w:val="both"/>
        <w:rPr>
          <w:rFonts w:ascii="Arial" w:hAnsi="Arial" w:cs="Arial"/>
          <w:sz w:val="24"/>
          <w:szCs w:val="24"/>
        </w:rPr>
      </w:pPr>
      <w:r w:rsidRPr="00AB34B2">
        <w:rPr>
          <w:rFonts w:ascii="Arial" w:hAnsi="Arial" w:cs="Arial"/>
          <w:sz w:val="24"/>
          <w:szCs w:val="24"/>
        </w:rPr>
        <w:t xml:space="preserve">El artículo 2.4.6.2.3 del Decreto 1075 de 2015 –Único del Sector Educación- se encuentra vigente al momento en que se expida el presente proyecto objeto de la presente memoria justificativa. </w:t>
      </w:r>
    </w:p>
    <w:p w14:paraId="39F2FC49" w14:textId="77777777" w:rsidR="00AB34B2" w:rsidRDefault="00AB34B2" w:rsidP="00AB34B2">
      <w:pPr>
        <w:spacing w:after="0" w:line="240" w:lineRule="auto"/>
        <w:jc w:val="both"/>
        <w:rPr>
          <w:rFonts w:ascii="Arial" w:hAnsi="Arial" w:cs="Arial"/>
          <w:sz w:val="24"/>
          <w:szCs w:val="24"/>
        </w:rPr>
      </w:pPr>
    </w:p>
    <w:p w14:paraId="0EC7E53A" w14:textId="61BB33D6" w:rsidR="00330153" w:rsidRPr="00AB34B2" w:rsidRDefault="004949DF" w:rsidP="00B8388B">
      <w:pPr>
        <w:pStyle w:val="Prrafodelista"/>
        <w:numPr>
          <w:ilvl w:val="1"/>
          <w:numId w:val="9"/>
        </w:numPr>
        <w:spacing w:after="0" w:line="240" w:lineRule="auto"/>
        <w:ind w:right="-1"/>
        <w:jc w:val="both"/>
        <w:rPr>
          <w:rFonts w:ascii="Arial" w:hAnsi="Arial" w:cs="Arial"/>
          <w:b/>
          <w:sz w:val="24"/>
          <w:szCs w:val="24"/>
        </w:rPr>
      </w:pPr>
      <w:r w:rsidRPr="00B95FFD">
        <w:rPr>
          <w:rFonts w:ascii="Arial" w:hAnsi="Arial" w:cs="Arial"/>
          <w:b/>
          <w:sz w:val="24"/>
          <w:szCs w:val="24"/>
        </w:rPr>
        <w:t xml:space="preserve"> </w:t>
      </w:r>
      <w:r w:rsidR="00330153" w:rsidRPr="00AB34B2">
        <w:rPr>
          <w:rFonts w:ascii="Arial" w:hAnsi="Arial" w:cs="Arial"/>
          <w:b/>
          <w:sz w:val="24"/>
          <w:szCs w:val="24"/>
        </w:rPr>
        <w:t>Las disposiciones derogadas, subrogadas, modificadas, adicionadas o sustituidas.</w:t>
      </w:r>
    </w:p>
    <w:p w14:paraId="25B1940D" w14:textId="77777777" w:rsidR="00330153" w:rsidRPr="00AB34B2" w:rsidRDefault="00330153" w:rsidP="00AB34B2">
      <w:pPr>
        <w:pStyle w:val="Prrafodelista"/>
        <w:spacing w:after="0" w:line="240" w:lineRule="auto"/>
        <w:jc w:val="both"/>
        <w:rPr>
          <w:rFonts w:ascii="Arial" w:hAnsi="Arial" w:cs="Arial"/>
          <w:b/>
          <w:sz w:val="24"/>
          <w:szCs w:val="24"/>
        </w:rPr>
      </w:pPr>
    </w:p>
    <w:p w14:paraId="2889701F" w14:textId="688F3BF7" w:rsidR="00330153" w:rsidRPr="00AB34B2" w:rsidRDefault="00330153" w:rsidP="00AB34B2">
      <w:pPr>
        <w:spacing w:after="0" w:line="240" w:lineRule="auto"/>
        <w:jc w:val="both"/>
        <w:rPr>
          <w:rFonts w:ascii="Arial" w:hAnsi="Arial" w:cs="Arial"/>
          <w:sz w:val="24"/>
          <w:szCs w:val="24"/>
        </w:rPr>
      </w:pPr>
      <w:r w:rsidRPr="00AB34B2">
        <w:rPr>
          <w:rFonts w:ascii="Arial" w:hAnsi="Arial" w:cs="Arial"/>
          <w:sz w:val="24"/>
          <w:szCs w:val="24"/>
        </w:rPr>
        <w:t>Se adiciona un parágrafo transitorio al artículo 2.4.6.2.3. del Decreto 1075 de 2015, que permite no exigir el requisito de dicho artículo a la modificación de plantas en las zonas PDET.</w:t>
      </w:r>
    </w:p>
    <w:p w14:paraId="0A29034E" w14:textId="77777777" w:rsidR="0000008D" w:rsidRPr="00AB34B2" w:rsidRDefault="0000008D" w:rsidP="00AB34B2">
      <w:pPr>
        <w:spacing w:after="0" w:line="240" w:lineRule="auto"/>
        <w:jc w:val="both"/>
        <w:rPr>
          <w:rFonts w:ascii="Arial" w:hAnsi="Arial" w:cs="Arial"/>
          <w:sz w:val="24"/>
          <w:szCs w:val="24"/>
        </w:rPr>
      </w:pPr>
    </w:p>
    <w:p w14:paraId="7A77C5D7" w14:textId="29B7214C" w:rsidR="00EB5ECF" w:rsidRDefault="00EB5ECF" w:rsidP="00AB34B2">
      <w:pPr>
        <w:spacing w:after="0" w:line="240" w:lineRule="auto"/>
        <w:jc w:val="both"/>
        <w:rPr>
          <w:rFonts w:ascii="Arial" w:hAnsi="Arial" w:cs="Arial"/>
          <w:sz w:val="24"/>
          <w:szCs w:val="24"/>
        </w:rPr>
      </w:pPr>
      <w:r>
        <w:rPr>
          <w:rFonts w:ascii="Arial" w:hAnsi="Arial" w:cs="Arial"/>
          <w:sz w:val="24"/>
          <w:szCs w:val="24"/>
        </w:rPr>
        <w:t xml:space="preserve">El proyecto de decreto que adiciona el parágrafo transitorio </w:t>
      </w:r>
      <w:r w:rsidRPr="00AB34B2">
        <w:rPr>
          <w:rFonts w:ascii="Arial" w:hAnsi="Arial" w:cs="Arial"/>
          <w:sz w:val="24"/>
          <w:szCs w:val="24"/>
        </w:rPr>
        <w:t>al artículo 2.4.6.2.3. del Decreto 1075 de 2015</w:t>
      </w:r>
      <w:r>
        <w:rPr>
          <w:rFonts w:ascii="Arial" w:hAnsi="Arial" w:cs="Arial"/>
          <w:sz w:val="24"/>
          <w:szCs w:val="24"/>
        </w:rPr>
        <w:t xml:space="preserve">, fue remitido a al </w:t>
      </w:r>
      <w:r w:rsidRPr="00712056">
        <w:rPr>
          <w:rFonts w:ascii="Arial" w:hAnsi="Arial" w:cs="Arial"/>
          <w:sz w:val="24"/>
          <w:szCs w:val="24"/>
        </w:rPr>
        <w:t>Ministerio de Educación Nacional, el Ministerio de Hacienda y Crédito Público y el Departamento Administrativo de la Función Pública</w:t>
      </w:r>
      <w:r>
        <w:rPr>
          <w:rFonts w:ascii="Arial" w:hAnsi="Arial" w:cs="Arial"/>
          <w:sz w:val="24"/>
          <w:szCs w:val="24"/>
        </w:rPr>
        <w:t xml:space="preserve">, quienes presentaron observaciones mediante </w:t>
      </w:r>
      <w:r w:rsidRPr="00712056">
        <w:rPr>
          <w:rFonts w:ascii="Arial" w:hAnsi="Arial" w:cs="Arial"/>
          <w:sz w:val="24"/>
          <w:szCs w:val="24"/>
        </w:rPr>
        <w:t>los radicados 20I8-ER-07937 y 2018-ER-082579</w:t>
      </w:r>
      <w:r>
        <w:rPr>
          <w:rFonts w:ascii="Arial" w:hAnsi="Arial" w:cs="Arial"/>
          <w:sz w:val="24"/>
          <w:szCs w:val="24"/>
        </w:rPr>
        <w:t>, las cuales fueron tenidas en cuenta en la versión final del proyecto de Decreto.</w:t>
      </w:r>
    </w:p>
    <w:p w14:paraId="3B9F0DFC" w14:textId="77777777" w:rsidR="00330153" w:rsidRPr="00AB34B2" w:rsidRDefault="00330153" w:rsidP="00AB34B2">
      <w:pPr>
        <w:spacing w:after="0" w:line="240" w:lineRule="auto"/>
        <w:rPr>
          <w:rFonts w:ascii="Arial" w:hAnsi="Arial" w:cs="Arial"/>
          <w:sz w:val="24"/>
          <w:szCs w:val="24"/>
        </w:rPr>
      </w:pPr>
      <w:bookmarkStart w:id="1" w:name="_GoBack"/>
      <w:bookmarkEnd w:id="1"/>
    </w:p>
    <w:p w14:paraId="5FE84347" w14:textId="3A41AC06" w:rsidR="00330153" w:rsidRPr="00AB34B2" w:rsidRDefault="00B8388B" w:rsidP="00B8388B">
      <w:pPr>
        <w:pStyle w:val="Prrafodelista"/>
        <w:numPr>
          <w:ilvl w:val="1"/>
          <w:numId w:val="9"/>
        </w:numPr>
        <w:spacing w:after="0" w:line="240" w:lineRule="auto"/>
        <w:ind w:right="-1"/>
        <w:jc w:val="both"/>
        <w:rPr>
          <w:rFonts w:ascii="Arial" w:hAnsi="Arial" w:cs="Arial"/>
          <w:b/>
          <w:color w:val="000000"/>
          <w:sz w:val="24"/>
          <w:szCs w:val="24"/>
        </w:rPr>
      </w:pPr>
      <w:r>
        <w:rPr>
          <w:rFonts w:ascii="Arial" w:hAnsi="Arial" w:cs="Arial"/>
          <w:b/>
          <w:color w:val="000000"/>
          <w:sz w:val="24"/>
          <w:szCs w:val="24"/>
        </w:rPr>
        <w:t xml:space="preserve"> </w:t>
      </w:r>
      <w:r w:rsidR="00330153" w:rsidRPr="00AB34B2">
        <w:rPr>
          <w:rFonts w:ascii="Arial" w:hAnsi="Arial" w:cs="Arial"/>
          <w:b/>
          <w:color w:val="000000"/>
          <w:sz w:val="24"/>
          <w:szCs w:val="24"/>
        </w:rPr>
        <w:t>Revisión y análisis de decisiones judiciales de los órganos de cierre de cada jurisdicción que pudieran tener impacto o ser relevantes para la expedición del acto.</w:t>
      </w:r>
    </w:p>
    <w:p w14:paraId="6C69E69D" w14:textId="77777777" w:rsidR="00330153" w:rsidRPr="00AB34B2" w:rsidRDefault="00330153" w:rsidP="00AB34B2">
      <w:pPr>
        <w:spacing w:after="0" w:line="240" w:lineRule="auto"/>
        <w:jc w:val="both"/>
        <w:rPr>
          <w:rFonts w:ascii="Arial" w:hAnsi="Arial" w:cs="Arial"/>
          <w:b/>
          <w:color w:val="000000"/>
          <w:sz w:val="24"/>
          <w:szCs w:val="24"/>
        </w:rPr>
      </w:pPr>
    </w:p>
    <w:p w14:paraId="35C0FD7C" w14:textId="77777777" w:rsidR="00330153" w:rsidRPr="00AB34B2" w:rsidRDefault="00330153" w:rsidP="00AB34B2">
      <w:pPr>
        <w:spacing w:after="0" w:line="240" w:lineRule="auto"/>
        <w:jc w:val="both"/>
        <w:rPr>
          <w:rFonts w:ascii="Arial" w:hAnsi="Arial" w:cs="Arial"/>
          <w:color w:val="000000"/>
          <w:sz w:val="24"/>
          <w:szCs w:val="24"/>
        </w:rPr>
      </w:pPr>
      <w:r w:rsidRPr="00AB34B2">
        <w:rPr>
          <w:rFonts w:ascii="Arial" w:hAnsi="Arial" w:cs="Arial"/>
          <w:color w:val="000000"/>
          <w:sz w:val="24"/>
          <w:szCs w:val="24"/>
        </w:rPr>
        <w:t>No se encuentra necesario hacer alusión a ninguna sentencia de los órganos de cierre que verse sobre esta materia.</w:t>
      </w:r>
    </w:p>
    <w:p w14:paraId="47C95FFA" w14:textId="77777777" w:rsidR="00330153" w:rsidRPr="00AB34B2" w:rsidRDefault="00330153" w:rsidP="00AB34B2">
      <w:pPr>
        <w:spacing w:after="0" w:line="240" w:lineRule="auto"/>
        <w:jc w:val="both"/>
        <w:rPr>
          <w:rFonts w:ascii="Arial" w:hAnsi="Arial" w:cs="Arial"/>
          <w:color w:val="000000"/>
          <w:sz w:val="24"/>
          <w:szCs w:val="24"/>
        </w:rPr>
      </w:pPr>
    </w:p>
    <w:p w14:paraId="1373E32C" w14:textId="2067957D" w:rsidR="00330153" w:rsidRPr="00AB34B2" w:rsidRDefault="00B8388B" w:rsidP="00B8388B">
      <w:pPr>
        <w:pStyle w:val="Prrafodelista"/>
        <w:numPr>
          <w:ilvl w:val="1"/>
          <w:numId w:val="9"/>
        </w:numPr>
        <w:spacing w:after="0" w:line="240" w:lineRule="auto"/>
        <w:ind w:right="-1"/>
        <w:jc w:val="both"/>
        <w:rPr>
          <w:rFonts w:ascii="Arial" w:hAnsi="Arial" w:cs="Arial"/>
          <w:b/>
          <w:color w:val="000000"/>
          <w:sz w:val="24"/>
          <w:szCs w:val="24"/>
        </w:rPr>
      </w:pPr>
      <w:r>
        <w:rPr>
          <w:rFonts w:ascii="Arial" w:hAnsi="Arial" w:cs="Arial"/>
          <w:b/>
          <w:color w:val="000000"/>
          <w:sz w:val="24"/>
          <w:szCs w:val="24"/>
        </w:rPr>
        <w:t xml:space="preserve"> </w:t>
      </w:r>
      <w:r w:rsidR="00330153" w:rsidRPr="00AB34B2">
        <w:rPr>
          <w:rFonts w:ascii="Arial" w:hAnsi="Arial" w:cs="Arial"/>
          <w:b/>
          <w:color w:val="000000"/>
          <w:sz w:val="24"/>
          <w:szCs w:val="24"/>
        </w:rPr>
        <w:t>Advertencia de cualquier otra circunstancia jurídica que pueda ser relevante para la expedición del acto.</w:t>
      </w:r>
    </w:p>
    <w:p w14:paraId="5FDED14B" w14:textId="77777777" w:rsidR="00330153" w:rsidRPr="00AB34B2" w:rsidRDefault="00330153" w:rsidP="00AB34B2">
      <w:pPr>
        <w:spacing w:after="0" w:line="240" w:lineRule="auto"/>
        <w:jc w:val="both"/>
        <w:rPr>
          <w:rFonts w:ascii="Arial" w:hAnsi="Arial" w:cs="Arial"/>
          <w:color w:val="000000"/>
          <w:sz w:val="24"/>
          <w:szCs w:val="24"/>
        </w:rPr>
      </w:pPr>
    </w:p>
    <w:p w14:paraId="021020F0" w14:textId="77777777" w:rsidR="00330153" w:rsidRPr="00AB34B2" w:rsidRDefault="00330153" w:rsidP="00AB34B2">
      <w:pPr>
        <w:spacing w:after="0" w:line="240" w:lineRule="auto"/>
        <w:jc w:val="both"/>
        <w:rPr>
          <w:rFonts w:ascii="Arial" w:hAnsi="Arial" w:cs="Arial"/>
          <w:color w:val="000000"/>
          <w:sz w:val="24"/>
          <w:szCs w:val="24"/>
        </w:rPr>
      </w:pPr>
      <w:r w:rsidRPr="00AB34B2">
        <w:rPr>
          <w:rFonts w:ascii="Arial" w:hAnsi="Arial" w:cs="Arial"/>
          <w:color w:val="000000"/>
          <w:sz w:val="24"/>
          <w:szCs w:val="24"/>
        </w:rPr>
        <w:t xml:space="preserve">No se considera necesario presentar alguna advertencia en este punto. </w:t>
      </w:r>
    </w:p>
    <w:p w14:paraId="3FCC3FE0" w14:textId="77777777" w:rsidR="00330153" w:rsidRPr="00AB34B2" w:rsidRDefault="00330153" w:rsidP="00AB34B2">
      <w:pPr>
        <w:spacing w:after="0" w:line="240" w:lineRule="auto"/>
        <w:jc w:val="both"/>
        <w:rPr>
          <w:rFonts w:ascii="Arial" w:hAnsi="Arial" w:cs="Arial"/>
          <w:color w:val="000000"/>
          <w:sz w:val="24"/>
          <w:szCs w:val="24"/>
        </w:rPr>
      </w:pPr>
    </w:p>
    <w:p w14:paraId="19BB400F" w14:textId="77777777" w:rsidR="00330153" w:rsidRPr="00AB34B2"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Impacto económico.</w:t>
      </w:r>
    </w:p>
    <w:p w14:paraId="3F953519" w14:textId="77777777" w:rsidR="00330153" w:rsidRPr="00AB34B2" w:rsidRDefault="00330153" w:rsidP="00AB34B2">
      <w:pPr>
        <w:pStyle w:val="Prrafodelista"/>
        <w:spacing w:after="0" w:line="240" w:lineRule="auto"/>
        <w:ind w:left="0" w:right="-1"/>
        <w:jc w:val="both"/>
        <w:rPr>
          <w:rFonts w:ascii="Arial" w:hAnsi="Arial" w:cs="Arial"/>
          <w:b/>
          <w:sz w:val="24"/>
          <w:szCs w:val="24"/>
        </w:rPr>
      </w:pPr>
    </w:p>
    <w:p w14:paraId="5A22DC05" w14:textId="77777777" w:rsidR="00330153" w:rsidRPr="00AB34B2" w:rsidRDefault="00330153" w:rsidP="00AB34B2">
      <w:pPr>
        <w:pStyle w:val="Default"/>
        <w:jc w:val="both"/>
        <w:rPr>
          <w:color w:val="auto"/>
        </w:rPr>
      </w:pPr>
      <w:r w:rsidRPr="00AB34B2">
        <w:rPr>
          <w:color w:val="auto"/>
        </w:rPr>
        <w:t xml:space="preserve">No aplica. </w:t>
      </w:r>
    </w:p>
    <w:p w14:paraId="065F80CA" w14:textId="77777777" w:rsidR="00330153" w:rsidRPr="00AB34B2" w:rsidRDefault="00330153" w:rsidP="00AB34B2">
      <w:pPr>
        <w:spacing w:after="0" w:line="240" w:lineRule="auto"/>
        <w:jc w:val="both"/>
        <w:rPr>
          <w:rFonts w:ascii="Arial" w:hAnsi="Arial" w:cs="Arial"/>
          <w:sz w:val="24"/>
          <w:szCs w:val="24"/>
        </w:rPr>
      </w:pPr>
    </w:p>
    <w:p w14:paraId="18DC781D" w14:textId="77777777" w:rsidR="00330153" w:rsidRPr="00AB34B2"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Disponibilidad presupuestal.</w:t>
      </w:r>
    </w:p>
    <w:p w14:paraId="5CF8A2E3" w14:textId="77777777" w:rsidR="00330153" w:rsidRPr="00AB34B2" w:rsidRDefault="00330153" w:rsidP="00AB34B2">
      <w:pPr>
        <w:pStyle w:val="Prrafodelista"/>
        <w:spacing w:after="0" w:line="240" w:lineRule="auto"/>
        <w:ind w:left="0" w:right="-1"/>
        <w:jc w:val="both"/>
        <w:rPr>
          <w:rFonts w:ascii="Arial" w:hAnsi="Arial" w:cs="Arial"/>
          <w:b/>
          <w:sz w:val="24"/>
          <w:szCs w:val="24"/>
        </w:rPr>
      </w:pPr>
    </w:p>
    <w:p w14:paraId="498DBAB4" w14:textId="77777777" w:rsidR="00330153" w:rsidRPr="00AB34B2" w:rsidRDefault="00330153" w:rsidP="00AB34B2">
      <w:pPr>
        <w:pStyle w:val="Default"/>
        <w:jc w:val="both"/>
        <w:rPr>
          <w:color w:val="auto"/>
        </w:rPr>
      </w:pPr>
      <w:r w:rsidRPr="00AB34B2">
        <w:rPr>
          <w:color w:val="auto"/>
        </w:rPr>
        <w:t xml:space="preserve">No aplica. </w:t>
      </w:r>
    </w:p>
    <w:p w14:paraId="5D4055DE" w14:textId="77777777" w:rsidR="00330153" w:rsidRDefault="00330153" w:rsidP="00AB34B2">
      <w:pPr>
        <w:spacing w:after="0" w:line="240" w:lineRule="auto"/>
        <w:ind w:right="-1"/>
        <w:jc w:val="both"/>
        <w:rPr>
          <w:rFonts w:ascii="Arial" w:eastAsiaTheme="minorEastAsia" w:hAnsi="Arial" w:cs="Arial"/>
          <w:sz w:val="24"/>
          <w:szCs w:val="24"/>
        </w:rPr>
      </w:pPr>
    </w:p>
    <w:p w14:paraId="422F140D" w14:textId="77777777" w:rsidR="00B8388B" w:rsidRPr="00AB34B2" w:rsidRDefault="00B8388B" w:rsidP="00AB34B2">
      <w:pPr>
        <w:spacing w:after="0" w:line="240" w:lineRule="auto"/>
        <w:ind w:right="-1"/>
        <w:jc w:val="both"/>
        <w:rPr>
          <w:rFonts w:ascii="Arial" w:eastAsiaTheme="minorEastAsia" w:hAnsi="Arial" w:cs="Arial"/>
          <w:sz w:val="24"/>
          <w:szCs w:val="24"/>
        </w:rPr>
      </w:pPr>
    </w:p>
    <w:p w14:paraId="082B149F" w14:textId="77777777" w:rsidR="00330153" w:rsidRPr="00AB34B2"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Impacto medioambiental o sobre el patrimonio cultural de la Nación.</w:t>
      </w:r>
    </w:p>
    <w:p w14:paraId="117AE15A" w14:textId="77777777" w:rsidR="004949DF" w:rsidRPr="00AB34B2" w:rsidRDefault="004949DF" w:rsidP="00AB34B2">
      <w:pPr>
        <w:spacing w:after="0" w:line="240" w:lineRule="auto"/>
        <w:jc w:val="both"/>
        <w:rPr>
          <w:rFonts w:ascii="Arial" w:hAnsi="Arial" w:cs="Arial"/>
          <w:sz w:val="24"/>
          <w:szCs w:val="24"/>
        </w:rPr>
      </w:pPr>
    </w:p>
    <w:p w14:paraId="77C2CB9C" w14:textId="77777777" w:rsidR="00330153" w:rsidRPr="00AB34B2" w:rsidRDefault="00330153" w:rsidP="00AB34B2">
      <w:pPr>
        <w:spacing w:after="0" w:line="240" w:lineRule="auto"/>
        <w:jc w:val="both"/>
        <w:rPr>
          <w:rFonts w:ascii="Arial" w:hAnsi="Arial" w:cs="Arial"/>
          <w:sz w:val="24"/>
          <w:szCs w:val="24"/>
        </w:rPr>
      </w:pPr>
      <w:r w:rsidRPr="00AB34B2">
        <w:rPr>
          <w:rFonts w:ascii="Arial" w:hAnsi="Arial" w:cs="Arial"/>
          <w:sz w:val="24"/>
          <w:szCs w:val="24"/>
        </w:rPr>
        <w:t>No genera impacto ambiental o sobre el patrimonio cultural de la Nación</w:t>
      </w:r>
    </w:p>
    <w:p w14:paraId="070A1430" w14:textId="77777777" w:rsidR="00330153" w:rsidRPr="00AB34B2" w:rsidRDefault="00330153" w:rsidP="00AB34B2">
      <w:pPr>
        <w:pStyle w:val="NormalWeb"/>
        <w:spacing w:before="0" w:beforeAutospacing="0" w:after="0" w:afterAutospacing="0"/>
        <w:ind w:right="-1"/>
        <w:jc w:val="both"/>
        <w:rPr>
          <w:rFonts w:ascii="Arial" w:eastAsiaTheme="minorHAnsi" w:hAnsi="Arial" w:cs="Arial"/>
          <w:lang w:eastAsia="en-US"/>
        </w:rPr>
      </w:pPr>
    </w:p>
    <w:p w14:paraId="28B53A4C" w14:textId="77777777" w:rsidR="00330153" w:rsidRPr="00AB34B2" w:rsidRDefault="00330153" w:rsidP="00AB34B2">
      <w:pPr>
        <w:pStyle w:val="Prrafodelista"/>
        <w:numPr>
          <w:ilvl w:val="0"/>
          <w:numId w:val="9"/>
        </w:numPr>
        <w:spacing w:after="0" w:line="240" w:lineRule="auto"/>
        <w:ind w:right="-1"/>
        <w:jc w:val="both"/>
        <w:rPr>
          <w:rFonts w:ascii="Arial" w:hAnsi="Arial" w:cs="Arial"/>
          <w:b/>
          <w:sz w:val="24"/>
          <w:szCs w:val="24"/>
        </w:rPr>
      </w:pPr>
      <w:r w:rsidRPr="00AB34B2">
        <w:rPr>
          <w:rFonts w:ascii="Arial" w:hAnsi="Arial" w:cs="Arial"/>
          <w:b/>
          <w:sz w:val="24"/>
          <w:szCs w:val="24"/>
        </w:rPr>
        <w:t xml:space="preserve">Consulta previa y publicidad </w:t>
      </w:r>
    </w:p>
    <w:p w14:paraId="4B8A4CAD" w14:textId="77777777" w:rsidR="00330153" w:rsidRPr="00AB34B2" w:rsidRDefault="00330153" w:rsidP="00AB34B2">
      <w:pPr>
        <w:pStyle w:val="Default"/>
        <w:rPr>
          <w:color w:val="auto"/>
        </w:rPr>
      </w:pPr>
    </w:p>
    <w:p w14:paraId="13AC653D" w14:textId="77777777" w:rsidR="00330153" w:rsidRPr="00AB34B2" w:rsidRDefault="00330153" w:rsidP="00AB34B2">
      <w:pPr>
        <w:pStyle w:val="Default"/>
        <w:numPr>
          <w:ilvl w:val="1"/>
          <w:numId w:val="12"/>
        </w:numPr>
        <w:jc w:val="both"/>
        <w:rPr>
          <w:iCs/>
          <w:color w:val="auto"/>
        </w:rPr>
      </w:pPr>
      <w:r w:rsidRPr="00AB34B2">
        <w:rPr>
          <w:iCs/>
          <w:color w:val="auto"/>
        </w:rPr>
        <w:t>Consulta previa</w:t>
      </w:r>
    </w:p>
    <w:p w14:paraId="57B48736" w14:textId="77777777" w:rsidR="00330153" w:rsidRPr="00AB34B2" w:rsidRDefault="00330153" w:rsidP="00AB34B2">
      <w:pPr>
        <w:pStyle w:val="Default"/>
        <w:ind w:left="360"/>
        <w:jc w:val="both"/>
        <w:rPr>
          <w:color w:val="auto"/>
        </w:rPr>
      </w:pPr>
    </w:p>
    <w:p w14:paraId="43B40958" w14:textId="77777777" w:rsidR="00330153" w:rsidRPr="00AB34B2" w:rsidRDefault="00330153" w:rsidP="00AB34B2">
      <w:pPr>
        <w:pStyle w:val="Default"/>
        <w:jc w:val="both"/>
        <w:rPr>
          <w:color w:val="auto"/>
        </w:rPr>
      </w:pPr>
      <w:r w:rsidRPr="00AB34B2">
        <w:rPr>
          <w:color w:val="auto"/>
        </w:rPr>
        <w:t xml:space="preserve">No aplica. </w:t>
      </w:r>
    </w:p>
    <w:p w14:paraId="6CD74FEE" w14:textId="77777777" w:rsidR="00330153" w:rsidRPr="00AB34B2" w:rsidRDefault="00330153" w:rsidP="00AB34B2">
      <w:pPr>
        <w:pStyle w:val="Default"/>
        <w:ind w:left="720"/>
        <w:jc w:val="both"/>
        <w:rPr>
          <w:color w:val="auto"/>
        </w:rPr>
      </w:pPr>
    </w:p>
    <w:p w14:paraId="1B224AEF" w14:textId="77777777" w:rsidR="00330153" w:rsidRPr="00AB34B2" w:rsidRDefault="00330153" w:rsidP="00AB34B2">
      <w:pPr>
        <w:pStyle w:val="Default"/>
        <w:numPr>
          <w:ilvl w:val="1"/>
          <w:numId w:val="12"/>
        </w:numPr>
        <w:jc w:val="both"/>
        <w:rPr>
          <w:color w:val="auto"/>
        </w:rPr>
      </w:pPr>
      <w:r w:rsidRPr="00AB34B2">
        <w:rPr>
          <w:iCs/>
          <w:color w:val="auto"/>
        </w:rPr>
        <w:t>Publicidad</w:t>
      </w:r>
      <w:r w:rsidRPr="00AB34B2">
        <w:rPr>
          <w:color w:val="auto"/>
        </w:rPr>
        <w:t xml:space="preserve"> </w:t>
      </w:r>
    </w:p>
    <w:p w14:paraId="0DA174D7" w14:textId="77777777" w:rsidR="00330153" w:rsidRPr="00AB34B2" w:rsidRDefault="00330153" w:rsidP="00AB34B2">
      <w:pPr>
        <w:pStyle w:val="Default"/>
        <w:jc w:val="both"/>
        <w:rPr>
          <w:color w:val="auto"/>
        </w:rPr>
      </w:pPr>
    </w:p>
    <w:p w14:paraId="060C108F" w14:textId="269A52BE" w:rsidR="00330153" w:rsidRPr="00AB34B2" w:rsidRDefault="00330153" w:rsidP="00AB34B2">
      <w:pPr>
        <w:pStyle w:val="Default"/>
        <w:jc w:val="both"/>
        <w:rPr>
          <w:color w:val="auto"/>
        </w:rPr>
      </w:pPr>
      <w:r w:rsidRPr="00AB34B2">
        <w:rPr>
          <w:color w:val="auto"/>
        </w:rPr>
        <w:t xml:space="preserve">El proyecto de decreto fue publicado en la página Web del Ministerio desde el </w:t>
      </w:r>
      <w:r w:rsidR="00062508" w:rsidRPr="00062508">
        <w:rPr>
          <w:color w:val="auto"/>
        </w:rPr>
        <w:t>09</w:t>
      </w:r>
      <w:r w:rsidR="00062508" w:rsidRPr="00062508">
        <w:rPr>
          <w:color w:val="auto"/>
        </w:rPr>
        <w:t xml:space="preserve"> </w:t>
      </w:r>
      <w:r w:rsidRPr="00062508">
        <w:rPr>
          <w:color w:val="auto"/>
        </w:rPr>
        <w:t xml:space="preserve">de </w:t>
      </w:r>
      <w:r w:rsidR="00062508" w:rsidRPr="00062508">
        <w:rPr>
          <w:color w:val="auto"/>
        </w:rPr>
        <w:t>mayo</w:t>
      </w:r>
      <w:r w:rsidRPr="00062508">
        <w:rPr>
          <w:color w:val="auto"/>
        </w:rPr>
        <w:t xml:space="preserve"> de 2018</w:t>
      </w:r>
      <w:r w:rsidR="00062508" w:rsidRPr="00062508">
        <w:rPr>
          <w:color w:val="auto"/>
        </w:rPr>
        <w:t>,</w:t>
      </w:r>
      <w:r w:rsidRPr="00062508">
        <w:rPr>
          <w:color w:val="auto"/>
        </w:rPr>
        <w:t xml:space="preserve"> hasta el </w:t>
      </w:r>
      <w:r w:rsidR="00062508" w:rsidRPr="00062508">
        <w:rPr>
          <w:color w:val="auto"/>
        </w:rPr>
        <w:t>24</w:t>
      </w:r>
      <w:r w:rsidR="00062508" w:rsidRPr="00062508">
        <w:rPr>
          <w:color w:val="auto"/>
        </w:rPr>
        <w:t xml:space="preserve"> </w:t>
      </w:r>
      <w:r w:rsidRPr="00062508">
        <w:rPr>
          <w:color w:val="auto"/>
        </w:rPr>
        <w:t xml:space="preserve">de </w:t>
      </w:r>
      <w:r w:rsidR="00062508" w:rsidRPr="00062508">
        <w:rPr>
          <w:color w:val="auto"/>
        </w:rPr>
        <w:t>mayo</w:t>
      </w:r>
      <w:r w:rsidRPr="00062508">
        <w:rPr>
          <w:color w:val="auto"/>
        </w:rPr>
        <w:t xml:space="preserve"> de la misma anualidad. </w:t>
      </w:r>
      <w:r w:rsidR="00EB5ECF" w:rsidRPr="00062508">
        <w:rPr>
          <w:color w:val="auto"/>
        </w:rPr>
        <w:t>No se presentaron</w:t>
      </w:r>
      <w:r w:rsidRPr="00062508">
        <w:rPr>
          <w:color w:val="auto"/>
        </w:rPr>
        <w:t xml:space="preserve"> observaciones</w:t>
      </w:r>
      <w:r w:rsidRPr="00AB34B2">
        <w:rPr>
          <w:color w:val="auto"/>
        </w:rPr>
        <w:t xml:space="preserve"> </w:t>
      </w:r>
      <w:r w:rsidR="00062508">
        <w:rPr>
          <w:color w:val="auto"/>
        </w:rPr>
        <w:t xml:space="preserve">por parte </w:t>
      </w:r>
      <w:r w:rsidRPr="00AB34B2">
        <w:rPr>
          <w:color w:val="auto"/>
        </w:rPr>
        <w:t xml:space="preserve">de la ciudadanía.  </w:t>
      </w:r>
    </w:p>
    <w:p w14:paraId="17E3F71F" w14:textId="77777777" w:rsidR="00330153" w:rsidRPr="00AB34B2" w:rsidRDefault="00330153" w:rsidP="00AB34B2">
      <w:pPr>
        <w:pStyle w:val="Default"/>
        <w:jc w:val="both"/>
        <w:rPr>
          <w:color w:val="auto"/>
        </w:rPr>
      </w:pPr>
    </w:p>
    <w:p w14:paraId="1F8C2A71" w14:textId="77777777" w:rsidR="00330153" w:rsidRPr="00AB34B2" w:rsidRDefault="00330153" w:rsidP="00AB34B2">
      <w:pPr>
        <w:pStyle w:val="Default"/>
        <w:jc w:val="both"/>
        <w:rPr>
          <w:color w:val="auto"/>
        </w:rPr>
      </w:pPr>
    </w:p>
    <w:p w14:paraId="5F450425" w14:textId="77777777" w:rsidR="00330153" w:rsidRPr="00AB34B2" w:rsidRDefault="00330153" w:rsidP="00AB34B2">
      <w:pPr>
        <w:pStyle w:val="Default"/>
        <w:jc w:val="both"/>
        <w:rPr>
          <w:color w:val="auto"/>
        </w:rPr>
      </w:pPr>
      <w:r w:rsidRPr="00AB34B2">
        <w:rPr>
          <w:color w:val="auto"/>
        </w:rPr>
        <w:t>Visto bueno memoria justificativa</w:t>
      </w:r>
    </w:p>
    <w:p w14:paraId="75BCEA23" w14:textId="77777777" w:rsidR="00330153" w:rsidRPr="00AB34B2" w:rsidRDefault="00330153" w:rsidP="00AB34B2">
      <w:pPr>
        <w:pStyle w:val="Default"/>
        <w:jc w:val="both"/>
        <w:rPr>
          <w:color w:val="auto"/>
        </w:rPr>
      </w:pPr>
    </w:p>
    <w:p w14:paraId="6B6F33BA" w14:textId="77777777" w:rsidR="00330153" w:rsidRPr="00AB34B2" w:rsidRDefault="00330153" w:rsidP="00AB34B2">
      <w:pPr>
        <w:pStyle w:val="Default"/>
        <w:jc w:val="both"/>
        <w:rPr>
          <w:color w:val="auto"/>
        </w:rPr>
      </w:pPr>
    </w:p>
    <w:p w14:paraId="24205FE2" w14:textId="77777777" w:rsidR="00330153" w:rsidRPr="00AB34B2" w:rsidRDefault="00330153" w:rsidP="00AB34B2">
      <w:pPr>
        <w:pStyle w:val="Default"/>
        <w:jc w:val="both"/>
        <w:rPr>
          <w:color w:val="auto"/>
        </w:rPr>
      </w:pPr>
    </w:p>
    <w:p w14:paraId="090B1794" w14:textId="77777777" w:rsidR="00330153" w:rsidRPr="00AB34B2" w:rsidRDefault="00330153" w:rsidP="00AB34B2">
      <w:pPr>
        <w:pStyle w:val="Default"/>
        <w:jc w:val="both"/>
        <w:rPr>
          <w:color w:val="auto"/>
        </w:rPr>
      </w:pPr>
    </w:p>
    <w:p w14:paraId="09943E45" w14:textId="77777777" w:rsidR="00330153" w:rsidRPr="00AB34B2" w:rsidRDefault="00330153" w:rsidP="00AB34B2">
      <w:pPr>
        <w:pStyle w:val="Default"/>
        <w:jc w:val="both"/>
        <w:rPr>
          <w:rFonts w:eastAsia="Calibri"/>
          <w:b/>
          <w:lang w:val="es-CO" w:eastAsia="es-CO"/>
        </w:rPr>
      </w:pPr>
      <w:r w:rsidRPr="00AB34B2">
        <w:rPr>
          <w:rFonts w:eastAsia="Calibri"/>
          <w:b/>
          <w:lang w:val="es-CO" w:eastAsia="es-CO"/>
        </w:rPr>
        <w:t xml:space="preserve">MARIA GLORIA CAICEDO SANCHEZ </w:t>
      </w:r>
    </w:p>
    <w:p w14:paraId="172584B5" w14:textId="77777777" w:rsidR="00330153" w:rsidRPr="00AB34B2" w:rsidRDefault="00330153" w:rsidP="00AB34B2">
      <w:pPr>
        <w:pStyle w:val="Default"/>
        <w:jc w:val="both"/>
        <w:rPr>
          <w:color w:val="auto"/>
        </w:rPr>
      </w:pPr>
      <w:r w:rsidRPr="00AB34B2">
        <w:rPr>
          <w:color w:val="auto"/>
        </w:rPr>
        <w:t>Subdirectora de Recursos Humanos del Sector</w:t>
      </w:r>
    </w:p>
    <w:p w14:paraId="1560CA9B" w14:textId="77777777" w:rsidR="00330153" w:rsidRPr="00AB34B2" w:rsidRDefault="00330153" w:rsidP="00AB34B2">
      <w:pPr>
        <w:pStyle w:val="Default"/>
        <w:jc w:val="both"/>
        <w:rPr>
          <w:color w:val="auto"/>
        </w:rPr>
      </w:pPr>
    </w:p>
    <w:p w14:paraId="3D494E49" w14:textId="77777777" w:rsidR="00330153" w:rsidRPr="00AB34B2" w:rsidRDefault="00330153" w:rsidP="00AB34B2">
      <w:pPr>
        <w:pStyle w:val="Default"/>
        <w:jc w:val="both"/>
        <w:rPr>
          <w:color w:val="auto"/>
        </w:rPr>
      </w:pPr>
    </w:p>
    <w:p w14:paraId="404D2647" w14:textId="4F0D6482" w:rsidR="00330153" w:rsidRPr="00AB34B2" w:rsidRDefault="00330153" w:rsidP="00AB34B2">
      <w:pPr>
        <w:pStyle w:val="Default"/>
        <w:jc w:val="both"/>
        <w:rPr>
          <w:color w:val="auto"/>
        </w:rPr>
      </w:pPr>
    </w:p>
    <w:p w14:paraId="6AC250E0" w14:textId="77777777" w:rsidR="00330153" w:rsidRPr="00AB34B2" w:rsidRDefault="00330153" w:rsidP="00AB34B2">
      <w:pPr>
        <w:pStyle w:val="Default"/>
        <w:jc w:val="both"/>
        <w:rPr>
          <w:color w:val="auto"/>
        </w:rPr>
      </w:pPr>
      <w:r w:rsidRPr="00AB34B2">
        <w:rPr>
          <w:color w:val="auto"/>
        </w:rPr>
        <w:t xml:space="preserve">Visto bueno viabilidad Jurídica </w:t>
      </w:r>
    </w:p>
    <w:p w14:paraId="3BA58E79" w14:textId="77777777" w:rsidR="00330153" w:rsidRPr="00AB34B2" w:rsidRDefault="00330153" w:rsidP="00AB34B2">
      <w:pPr>
        <w:pStyle w:val="Default"/>
        <w:jc w:val="both"/>
        <w:rPr>
          <w:color w:val="auto"/>
        </w:rPr>
      </w:pPr>
    </w:p>
    <w:p w14:paraId="59577D6A" w14:textId="77777777" w:rsidR="00330153" w:rsidRPr="00AB34B2" w:rsidRDefault="00330153" w:rsidP="00AB34B2">
      <w:pPr>
        <w:pStyle w:val="Default"/>
        <w:jc w:val="both"/>
        <w:rPr>
          <w:color w:val="auto"/>
        </w:rPr>
      </w:pPr>
    </w:p>
    <w:p w14:paraId="0C7333F6" w14:textId="77777777" w:rsidR="00330153" w:rsidRPr="00AB34B2" w:rsidRDefault="00330153" w:rsidP="00AB34B2">
      <w:pPr>
        <w:pStyle w:val="Default"/>
        <w:jc w:val="both"/>
        <w:rPr>
          <w:b/>
          <w:color w:val="auto"/>
        </w:rPr>
      </w:pPr>
    </w:p>
    <w:p w14:paraId="3A9D1FC9" w14:textId="77777777" w:rsidR="00330153" w:rsidRPr="00AB34B2" w:rsidRDefault="00330153" w:rsidP="00AB34B2">
      <w:pPr>
        <w:pStyle w:val="Default"/>
        <w:jc w:val="both"/>
        <w:rPr>
          <w:b/>
          <w:color w:val="auto"/>
        </w:rPr>
      </w:pPr>
    </w:p>
    <w:p w14:paraId="38D93D6F" w14:textId="77777777" w:rsidR="00330153" w:rsidRPr="00AB34B2" w:rsidRDefault="00330153" w:rsidP="00AB34B2">
      <w:pPr>
        <w:pStyle w:val="Default"/>
        <w:jc w:val="both"/>
        <w:rPr>
          <w:b/>
          <w:color w:val="auto"/>
        </w:rPr>
      </w:pPr>
      <w:r w:rsidRPr="00AB34B2">
        <w:rPr>
          <w:b/>
          <w:color w:val="auto"/>
        </w:rPr>
        <w:t>MARTHA LUCIA TRUJILLO CALDERÓN</w:t>
      </w:r>
    </w:p>
    <w:p w14:paraId="011695E2" w14:textId="4168EFA8" w:rsidR="00330153" w:rsidRDefault="00330153" w:rsidP="00AB34B2">
      <w:pPr>
        <w:pStyle w:val="Default"/>
        <w:jc w:val="both"/>
        <w:rPr>
          <w:color w:val="auto"/>
        </w:rPr>
      </w:pPr>
      <w:r w:rsidRPr="00AB34B2">
        <w:rPr>
          <w:color w:val="auto"/>
        </w:rPr>
        <w:t xml:space="preserve">Jefe de la Oficina Asesora Jurídica </w:t>
      </w:r>
    </w:p>
    <w:p w14:paraId="71BEC99C" w14:textId="77777777" w:rsidR="00D25F76" w:rsidRPr="00AB34B2" w:rsidRDefault="00D25F76" w:rsidP="00AB34B2">
      <w:pPr>
        <w:pStyle w:val="Default"/>
        <w:jc w:val="both"/>
        <w:rPr>
          <w:color w:val="auto"/>
        </w:rPr>
      </w:pPr>
    </w:p>
    <w:p w14:paraId="5A80A850" w14:textId="77777777" w:rsidR="00330153" w:rsidRPr="00AB34B2" w:rsidRDefault="00330153" w:rsidP="00AB34B2">
      <w:pPr>
        <w:pStyle w:val="Default"/>
        <w:jc w:val="both"/>
        <w:rPr>
          <w:color w:val="auto"/>
          <w:sz w:val="16"/>
          <w:szCs w:val="16"/>
        </w:rPr>
      </w:pPr>
    </w:p>
    <w:p w14:paraId="38F209E8" w14:textId="07D7D53A" w:rsidR="00EB5ECF" w:rsidRDefault="004949DF" w:rsidP="00AB34B2">
      <w:pPr>
        <w:spacing w:after="0" w:line="240" w:lineRule="auto"/>
        <w:rPr>
          <w:rFonts w:ascii="Arial" w:hAnsi="Arial" w:cs="Arial"/>
          <w:sz w:val="16"/>
          <w:szCs w:val="16"/>
          <w:lang w:val="es-ES"/>
        </w:rPr>
      </w:pPr>
      <w:r w:rsidRPr="00AB34B2">
        <w:rPr>
          <w:rFonts w:ascii="Arial" w:hAnsi="Arial" w:cs="Arial"/>
          <w:sz w:val="16"/>
          <w:szCs w:val="16"/>
          <w:lang w:val="es-ES"/>
        </w:rPr>
        <w:t xml:space="preserve">Revisó: </w:t>
      </w:r>
      <w:r w:rsidR="00EB5ECF">
        <w:rPr>
          <w:rFonts w:ascii="Arial" w:hAnsi="Arial" w:cs="Arial"/>
          <w:sz w:val="16"/>
          <w:szCs w:val="16"/>
          <w:lang w:val="es-ES"/>
        </w:rPr>
        <w:tab/>
        <w:t xml:space="preserve">Gloria Caicedo Sanchez – </w:t>
      </w:r>
      <w:proofErr w:type="gramStart"/>
      <w:r w:rsidR="00EB5ECF">
        <w:rPr>
          <w:rFonts w:ascii="Arial" w:hAnsi="Arial" w:cs="Arial"/>
          <w:sz w:val="16"/>
          <w:szCs w:val="16"/>
          <w:lang w:val="es-ES"/>
        </w:rPr>
        <w:t>Subdirectora</w:t>
      </w:r>
      <w:proofErr w:type="gramEnd"/>
      <w:r w:rsidR="00EB5ECF">
        <w:rPr>
          <w:rFonts w:ascii="Arial" w:hAnsi="Arial" w:cs="Arial"/>
          <w:sz w:val="16"/>
          <w:szCs w:val="16"/>
          <w:lang w:val="es-ES"/>
        </w:rPr>
        <w:t xml:space="preserve"> RHSE </w:t>
      </w:r>
    </w:p>
    <w:p w14:paraId="38FEE23B" w14:textId="3A21ACE1" w:rsidR="004949DF" w:rsidRPr="00AB34B2" w:rsidRDefault="004949DF" w:rsidP="00062508">
      <w:pPr>
        <w:spacing w:after="0" w:line="240" w:lineRule="auto"/>
        <w:ind w:firstLine="708"/>
        <w:rPr>
          <w:rFonts w:ascii="Arial" w:hAnsi="Arial" w:cs="Arial"/>
          <w:sz w:val="16"/>
          <w:szCs w:val="16"/>
          <w:lang w:val="es-ES"/>
        </w:rPr>
      </w:pPr>
      <w:r w:rsidRPr="00AB34B2">
        <w:rPr>
          <w:rFonts w:ascii="Arial" w:hAnsi="Arial" w:cs="Arial"/>
          <w:sz w:val="16"/>
          <w:szCs w:val="16"/>
          <w:lang w:val="es-ES"/>
        </w:rPr>
        <w:t>Eliana González – Coordinadora Grupo de Normas OAJ</w:t>
      </w:r>
    </w:p>
    <w:p w14:paraId="35A89A82" w14:textId="0964F800" w:rsidR="00077BAD" w:rsidRPr="00AB34B2" w:rsidRDefault="004949DF" w:rsidP="00062508">
      <w:pPr>
        <w:spacing w:after="0" w:line="240" w:lineRule="auto"/>
        <w:ind w:firstLine="708"/>
        <w:rPr>
          <w:rFonts w:ascii="Arial" w:hAnsi="Arial" w:cs="Arial"/>
          <w:sz w:val="16"/>
          <w:szCs w:val="16"/>
          <w:lang w:val="es-ES"/>
        </w:rPr>
      </w:pPr>
      <w:r w:rsidRPr="00AB34B2">
        <w:rPr>
          <w:rFonts w:ascii="Arial" w:hAnsi="Arial" w:cs="Arial"/>
          <w:sz w:val="16"/>
          <w:szCs w:val="16"/>
          <w:lang w:val="es-ES"/>
        </w:rPr>
        <w:t>Silvio Rosero –Abogado OAJ Grupo de Normas -</w:t>
      </w:r>
    </w:p>
    <w:p w14:paraId="404F4123" w14:textId="77777777" w:rsidR="004949DF" w:rsidRPr="00AB34B2" w:rsidRDefault="004949DF" w:rsidP="00AB34B2">
      <w:pPr>
        <w:spacing w:after="0" w:line="240" w:lineRule="auto"/>
        <w:rPr>
          <w:rFonts w:ascii="Arial" w:hAnsi="Arial" w:cs="Arial"/>
          <w:sz w:val="16"/>
          <w:szCs w:val="16"/>
          <w:lang w:val="es-ES"/>
        </w:rPr>
      </w:pPr>
    </w:p>
    <w:p w14:paraId="266AC306" w14:textId="34E22B52" w:rsidR="004949DF" w:rsidRDefault="004949DF" w:rsidP="00AB34B2">
      <w:pPr>
        <w:spacing w:after="0" w:line="240" w:lineRule="auto"/>
        <w:rPr>
          <w:rFonts w:ascii="Arial" w:hAnsi="Arial" w:cs="Arial"/>
          <w:sz w:val="16"/>
          <w:szCs w:val="16"/>
          <w:lang w:val="es-ES"/>
        </w:rPr>
      </w:pPr>
      <w:r w:rsidRPr="00AB34B2">
        <w:rPr>
          <w:rFonts w:ascii="Arial" w:hAnsi="Arial" w:cs="Arial"/>
          <w:sz w:val="16"/>
          <w:szCs w:val="16"/>
          <w:lang w:val="es-ES"/>
        </w:rPr>
        <w:t xml:space="preserve">Proyectó: </w:t>
      </w:r>
      <w:r w:rsidR="0084476B">
        <w:rPr>
          <w:rFonts w:ascii="Arial" w:hAnsi="Arial" w:cs="Arial"/>
          <w:sz w:val="16"/>
          <w:szCs w:val="16"/>
          <w:lang w:val="es-ES"/>
        </w:rPr>
        <w:t xml:space="preserve">Renan Calderon Morales – </w:t>
      </w:r>
      <w:proofErr w:type="gramStart"/>
      <w:r w:rsidR="0084476B">
        <w:rPr>
          <w:rFonts w:ascii="Arial" w:hAnsi="Arial" w:cs="Arial"/>
          <w:sz w:val="16"/>
          <w:szCs w:val="16"/>
          <w:lang w:val="es-ES"/>
        </w:rPr>
        <w:t>Subdirector</w:t>
      </w:r>
      <w:proofErr w:type="gramEnd"/>
      <w:r w:rsidR="0084476B">
        <w:rPr>
          <w:rFonts w:ascii="Arial" w:hAnsi="Arial" w:cs="Arial"/>
          <w:sz w:val="16"/>
          <w:szCs w:val="16"/>
          <w:lang w:val="es-ES"/>
        </w:rPr>
        <w:t xml:space="preserve"> FI</w:t>
      </w:r>
    </w:p>
    <w:p w14:paraId="63A4AE3F" w14:textId="1184D340" w:rsidR="0084476B" w:rsidRPr="00AB34B2" w:rsidRDefault="0084476B" w:rsidP="00AB34B2">
      <w:pPr>
        <w:spacing w:after="0" w:line="240" w:lineRule="auto"/>
        <w:rPr>
          <w:rFonts w:ascii="Arial" w:hAnsi="Arial" w:cs="Arial"/>
          <w:sz w:val="16"/>
          <w:szCs w:val="16"/>
          <w:lang w:val="es-ES"/>
        </w:rPr>
      </w:pPr>
      <w:r>
        <w:rPr>
          <w:rFonts w:ascii="Arial" w:hAnsi="Arial" w:cs="Arial"/>
          <w:sz w:val="16"/>
          <w:szCs w:val="16"/>
          <w:lang w:val="es-ES"/>
        </w:rPr>
        <w:tab/>
        <w:t>Lesney Jesús Castañeda Valencia – Asesor Contratista RHSE</w:t>
      </w:r>
    </w:p>
    <w:sectPr w:rsidR="0084476B" w:rsidRPr="00AB34B2" w:rsidSect="00B8388B">
      <w:headerReference w:type="default" r:id="rId11"/>
      <w:footerReference w:type="default" r:id="rId12"/>
      <w:pgSz w:w="12240" w:h="15840" w:code="1"/>
      <w:pgMar w:top="1701" w:right="1134" w:bottom="1701" w:left="1701"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1C06" w14:textId="77777777" w:rsidR="00A27EDA" w:rsidRDefault="00A27EDA" w:rsidP="00CD6908">
      <w:pPr>
        <w:spacing w:after="0" w:line="240" w:lineRule="auto"/>
      </w:pPr>
      <w:r>
        <w:separator/>
      </w:r>
    </w:p>
  </w:endnote>
  <w:endnote w:type="continuationSeparator" w:id="0">
    <w:p w14:paraId="6A5675D6" w14:textId="77777777" w:rsidR="00A27EDA" w:rsidRDefault="00A27EDA"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41B1" w14:textId="77777777" w:rsidR="00287448" w:rsidRPr="00BA3D52" w:rsidRDefault="00287448" w:rsidP="0028744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Calle 43 No. 57 - 14 Centro Administrativo Nacional, CAN, Bogotá, D.C.</w:t>
    </w:r>
  </w:p>
  <w:p w14:paraId="6B0103F5" w14:textId="77777777" w:rsidR="00287448" w:rsidRPr="00BA3D52" w:rsidRDefault="00287448" w:rsidP="0028744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PBX: +57 (1) 222 2800 -  Fax 222 4953</w:t>
    </w:r>
  </w:p>
  <w:p w14:paraId="2101B3FC" w14:textId="4873DDE5" w:rsidR="00754431" w:rsidRDefault="00287448" w:rsidP="0028744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www.mineducacion.gov.co - atencio</w:t>
    </w:r>
    <w:r w:rsidR="00BA3D52">
      <w:rPr>
        <w:rFonts w:ascii="Helvetica" w:eastAsia="Times New Roman" w:hAnsi="Helvetica" w:cs="Arial"/>
        <w:b/>
        <w:bCs/>
        <w:color w:val="333333"/>
        <w:sz w:val="16"/>
        <w:szCs w:val="19"/>
        <w:shd w:val="clear" w:color="auto" w:fill="FFFFFF"/>
        <w:lang w:val="es-ES_tradnl" w:eastAsia="es-ES"/>
      </w:rPr>
      <w:t>nalciudadano@mineducacion.gov.co</w:t>
    </w:r>
  </w:p>
  <w:sdt>
    <w:sdtPr>
      <w:rPr>
        <w:rFonts w:ascii="Helvetica" w:eastAsia="Times New Roman" w:hAnsi="Helvetica" w:cs="Times New Roman"/>
        <w:sz w:val="16"/>
        <w:szCs w:val="16"/>
        <w:lang w:eastAsia="es-ES"/>
      </w:rPr>
      <w:id w:val="1728636285"/>
      <w:docPartObj>
        <w:docPartGallery w:val="Page Numbers (Top of Page)"/>
        <w:docPartUnique/>
      </w:docPartObj>
    </w:sdtPr>
    <w:sdtEndPr/>
    <w:sdtContent>
      <w:p w14:paraId="6316A285" w14:textId="4265F689" w:rsidR="0065727B" w:rsidRPr="0065727B" w:rsidRDefault="0065727B" w:rsidP="0065727B">
        <w:pPr>
          <w:spacing w:after="0" w:line="240" w:lineRule="auto"/>
          <w:jc w:val="center"/>
          <w:rPr>
            <w:rFonts w:ascii="Helvetica" w:eastAsia="Times New Roman" w:hAnsi="Helvetica" w:cs="Times New Roman"/>
            <w:sz w:val="16"/>
            <w:szCs w:val="16"/>
            <w:lang w:eastAsia="es-ES"/>
          </w:rPr>
        </w:pPr>
        <w:r w:rsidRPr="0065727B">
          <w:rPr>
            <w:rFonts w:ascii="Helvetica" w:eastAsia="Times New Roman" w:hAnsi="Helvetica" w:cs="Times New Roman"/>
            <w:sz w:val="16"/>
            <w:szCs w:val="16"/>
            <w:lang w:val="es-ES" w:eastAsia="es-ES"/>
          </w:rPr>
          <w:t xml:space="preserve">Página </w:t>
        </w:r>
        <w:r w:rsidRPr="0065727B">
          <w:rPr>
            <w:rFonts w:ascii="Helvetica" w:eastAsia="Times New Roman" w:hAnsi="Helvetica" w:cs="Times New Roman"/>
            <w:b/>
            <w:bCs/>
            <w:sz w:val="16"/>
            <w:szCs w:val="16"/>
            <w:lang w:eastAsia="es-ES"/>
          </w:rPr>
          <w:fldChar w:fldCharType="begin"/>
        </w:r>
        <w:r w:rsidRPr="0065727B">
          <w:rPr>
            <w:rFonts w:ascii="Helvetica" w:eastAsia="Times New Roman" w:hAnsi="Helvetica" w:cs="Times New Roman"/>
            <w:b/>
            <w:bCs/>
            <w:sz w:val="16"/>
            <w:szCs w:val="16"/>
            <w:lang w:eastAsia="es-ES"/>
          </w:rPr>
          <w:instrText>PAGE</w:instrText>
        </w:r>
        <w:r w:rsidRPr="0065727B">
          <w:rPr>
            <w:rFonts w:ascii="Helvetica" w:eastAsia="Times New Roman" w:hAnsi="Helvetica" w:cs="Times New Roman"/>
            <w:b/>
            <w:bCs/>
            <w:sz w:val="16"/>
            <w:szCs w:val="16"/>
            <w:lang w:eastAsia="es-ES"/>
          </w:rPr>
          <w:fldChar w:fldCharType="separate"/>
        </w:r>
        <w:r w:rsidR="00B8388B">
          <w:rPr>
            <w:rFonts w:ascii="Helvetica" w:eastAsia="Times New Roman" w:hAnsi="Helvetica" w:cs="Times New Roman"/>
            <w:b/>
            <w:bCs/>
            <w:noProof/>
            <w:sz w:val="16"/>
            <w:szCs w:val="16"/>
            <w:lang w:eastAsia="es-ES"/>
          </w:rPr>
          <w:t>3</w:t>
        </w:r>
        <w:r w:rsidRPr="0065727B">
          <w:rPr>
            <w:rFonts w:ascii="Helvetica" w:eastAsia="Times New Roman" w:hAnsi="Helvetica" w:cs="Times New Roman"/>
            <w:sz w:val="16"/>
            <w:szCs w:val="16"/>
            <w:lang w:val="es-ES_tradnl" w:eastAsia="es-ES"/>
          </w:rPr>
          <w:fldChar w:fldCharType="end"/>
        </w:r>
        <w:r w:rsidRPr="0065727B">
          <w:rPr>
            <w:rFonts w:ascii="Helvetica" w:eastAsia="Times New Roman" w:hAnsi="Helvetica" w:cs="Times New Roman"/>
            <w:sz w:val="16"/>
            <w:szCs w:val="16"/>
            <w:lang w:val="es-ES" w:eastAsia="es-ES"/>
          </w:rPr>
          <w:t xml:space="preserve"> de </w:t>
        </w:r>
        <w:r w:rsidRPr="0065727B">
          <w:rPr>
            <w:rFonts w:ascii="Helvetica" w:eastAsia="Times New Roman" w:hAnsi="Helvetica" w:cs="Times New Roman"/>
            <w:b/>
            <w:bCs/>
            <w:sz w:val="16"/>
            <w:szCs w:val="16"/>
            <w:lang w:eastAsia="es-ES"/>
          </w:rPr>
          <w:fldChar w:fldCharType="begin"/>
        </w:r>
        <w:r w:rsidRPr="0065727B">
          <w:rPr>
            <w:rFonts w:ascii="Helvetica" w:eastAsia="Times New Roman" w:hAnsi="Helvetica" w:cs="Times New Roman"/>
            <w:b/>
            <w:bCs/>
            <w:sz w:val="16"/>
            <w:szCs w:val="16"/>
            <w:lang w:eastAsia="es-ES"/>
          </w:rPr>
          <w:instrText>NUMPAGES</w:instrText>
        </w:r>
        <w:r w:rsidRPr="0065727B">
          <w:rPr>
            <w:rFonts w:ascii="Helvetica" w:eastAsia="Times New Roman" w:hAnsi="Helvetica" w:cs="Times New Roman"/>
            <w:b/>
            <w:bCs/>
            <w:sz w:val="16"/>
            <w:szCs w:val="16"/>
            <w:lang w:eastAsia="es-ES"/>
          </w:rPr>
          <w:fldChar w:fldCharType="separate"/>
        </w:r>
        <w:r w:rsidR="00B8388B">
          <w:rPr>
            <w:rFonts w:ascii="Helvetica" w:eastAsia="Times New Roman" w:hAnsi="Helvetica" w:cs="Times New Roman"/>
            <w:b/>
            <w:bCs/>
            <w:noProof/>
            <w:sz w:val="16"/>
            <w:szCs w:val="16"/>
            <w:lang w:eastAsia="es-ES"/>
          </w:rPr>
          <w:t>4</w:t>
        </w:r>
        <w:r w:rsidRPr="0065727B">
          <w:rPr>
            <w:rFonts w:ascii="Helvetica" w:eastAsia="Times New Roman" w:hAnsi="Helvetica" w:cs="Times New Roman"/>
            <w:sz w:val="16"/>
            <w:szCs w:val="16"/>
            <w:lang w:val="es-ES_tradnl" w:eastAsia="es-ES"/>
          </w:rPr>
          <w:fldChar w:fldCharType="end"/>
        </w:r>
      </w:p>
    </w:sdtContent>
  </w:sdt>
  <w:p w14:paraId="7B4FA834" w14:textId="77777777" w:rsidR="0065727B" w:rsidRPr="0065727B" w:rsidRDefault="0065727B" w:rsidP="00287448">
    <w:pPr>
      <w:spacing w:after="0" w:line="240" w:lineRule="auto"/>
      <w:jc w:val="center"/>
      <w:rPr>
        <w:rFonts w:ascii="Helvetica" w:eastAsia="Times New Roman" w:hAnsi="Helvetica" w:cs="Times New Roman"/>
        <w:sz w:val="18"/>
        <w:szCs w:val="20"/>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33D3F" w14:textId="77777777" w:rsidR="00A27EDA" w:rsidRDefault="00A27EDA" w:rsidP="00CD6908">
      <w:pPr>
        <w:spacing w:after="0" w:line="240" w:lineRule="auto"/>
      </w:pPr>
      <w:r>
        <w:separator/>
      </w:r>
    </w:p>
  </w:footnote>
  <w:footnote w:type="continuationSeparator" w:id="0">
    <w:p w14:paraId="3394EF73" w14:textId="77777777" w:rsidR="00A27EDA" w:rsidRDefault="00A27EDA"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2177" w14:textId="4D52C90A" w:rsidR="00CD6908" w:rsidRDefault="00A6393A" w:rsidP="0077490D">
    <w:pPr>
      <w:pStyle w:val="Encabezado"/>
      <w:jc w:val="right"/>
    </w:pPr>
    <w:r>
      <w:rPr>
        <w:noProof/>
        <w:lang w:eastAsia="es-CO"/>
      </w:rPr>
      <w:drawing>
        <wp:anchor distT="0" distB="0" distL="114300" distR="114300" simplePos="0" relativeHeight="251659264" behindDoc="0" locked="0" layoutInCell="1" allowOverlap="1" wp14:anchorId="2D2F0FF0" wp14:editId="27D5ACE3">
          <wp:simplePos x="0" y="0"/>
          <wp:positionH relativeFrom="margin">
            <wp:posOffset>2397125</wp:posOffset>
          </wp:positionH>
          <wp:positionV relativeFrom="margin">
            <wp:posOffset>-551180</wp:posOffset>
          </wp:positionV>
          <wp:extent cx="3888740" cy="431800"/>
          <wp:effectExtent l="0" t="0" r="0" b="0"/>
          <wp:wrapThrough wrapText="bothSides">
            <wp:wrapPolygon edited="0">
              <wp:start x="0" y="0"/>
              <wp:lineTo x="0" y="20329"/>
              <wp:lineTo x="21445" y="20329"/>
              <wp:lineTo x="21445"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GOB.png"/>
                  <pic:cNvPicPr/>
                </pic:nvPicPr>
                <pic:blipFill rotWithShape="1">
                  <a:blip r:embed="rId1">
                    <a:extLst>
                      <a:ext uri="{28A0092B-C50C-407E-A947-70E740481C1C}">
                        <a14:useLocalDpi xmlns:a14="http://schemas.microsoft.com/office/drawing/2010/main" val="0"/>
                      </a:ext>
                    </a:extLst>
                  </a:blip>
                  <a:srcRect l="6468" t="16514" r="6468" b="15710"/>
                  <a:stretch/>
                </pic:blipFill>
                <pic:spPr bwMode="auto">
                  <a:xfrm>
                    <a:off x="0" y="0"/>
                    <a:ext cx="3888740"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7C36"/>
    <w:multiLevelType w:val="multilevel"/>
    <w:tmpl w:val="D7463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282764"/>
    <w:multiLevelType w:val="hybridMultilevel"/>
    <w:tmpl w:val="1C987E4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052D9C"/>
    <w:multiLevelType w:val="hybridMultilevel"/>
    <w:tmpl w:val="768E8DD2"/>
    <w:lvl w:ilvl="0" w:tplc="3740F4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2A066A"/>
    <w:multiLevelType w:val="multilevel"/>
    <w:tmpl w:val="312840A6"/>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9E00EF8"/>
    <w:multiLevelType w:val="multilevel"/>
    <w:tmpl w:val="DD00DE0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F96F7D"/>
    <w:multiLevelType w:val="multilevel"/>
    <w:tmpl w:val="CCDA4F8A"/>
    <w:lvl w:ilvl="0">
      <w:start w:val="1"/>
      <w:numFmt w:val="upperRoman"/>
      <w:lvlText w:val="%1."/>
      <w:lvlJc w:val="left"/>
      <w:pPr>
        <w:ind w:left="786" w:hanging="720"/>
      </w:pPr>
      <w:rPr>
        <w:rFonts w:hint="default"/>
        <w:b/>
        <w:color w:val="auto"/>
      </w:rPr>
    </w:lvl>
    <w:lvl w:ilvl="1">
      <w:start w:val="3"/>
      <w:numFmt w:val="decimal"/>
      <w:isLgl/>
      <w:lvlText w:val="%1.%2."/>
      <w:lvlJc w:val="left"/>
      <w:pPr>
        <w:ind w:left="786" w:hanging="72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66" w:hanging="1800"/>
      </w:pPr>
      <w:rPr>
        <w:rFonts w:hint="default"/>
      </w:rPr>
    </w:lvl>
  </w:abstractNum>
  <w:abstractNum w:abstractNumId="6" w15:restartNumberingAfterBreak="0">
    <w:nsid w:val="48884742"/>
    <w:multiLevelType w:val="hybridMultilevel"/>
    <w:tmpl w:val="1452F806"/>
    <w:lvl w:ilvl="0" w:tplc="9990D3D6">
      <w:start w:val="1"/>
      <w:numFmt w:val="decimal"/>
      <w:lvlText w:val="%1."/>
      <w:lvlJc w:val="left"/>
      <w:pPr>
        <w:ind w:left="144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0417FA"/>
    <w:multiLevelType w:val="hybridMultilevel"/>
    <w:tmpl w:val="D3E24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B10AED"/>
    <w:multiLevelType w:val="hybridMultilevel"/>
    <w:tmpl w:val="163C4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9B91915"/>
    <w:multiLevelType w:val="hybridMultilevel"/>
    <w:tmpl w:val="768E8DD2"/>
    <w:lvl w:ilvl="0" w:tplc="3740F4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D4116B"/>
    <w:multiLevelType w:val="multilevel"/>
    <w:tmpl w:val="F8124F56"/>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FCF3668"/>
    <w:multiLevelType w:val="multilevel"/>
    <w:tmpl w:val="4EA4462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11"/>
  </w:num>
  <w:num w:numId="3">
    <w:abstractNumId w:val="6"/>
  </w:num>
  <w:num w:numId="4">
    <w:abstractNumId w:val="2"/>
  </w:num>
  <w:num w:numId="5">
    <w:abstractNumId w:val="9"/>
  </w:num>
  <w:num w:numId="6">
    <w:abstractNumId w:val="8"/>
  </w:num>
  <w:num w:numId="7">
    <w:abstractNumId w:val="1"/>
  </w:num>
  <w:num w:numId="8">
    <w:abstractNumId w:val="7"/>
  </w:num>
  <w:num w:numId="9">
    <w:abstractNumId w:val="0"/>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08D"/>
    <w:rsid w:val="00013DCF"/>
    <w:rsid w:val="00062508"/>
    <w:rsid w:val="00077BAD"/>
    <w:rsid w:val="000D2BBE"/>
    <w:rsid w:val="000E0FA8"/>
    <w:rsid w:val="000F58E5"/>
    <w:rsid w:val="00195CDA"/>
    <w:rsid w:val="001A518C"/>
    <w:rsid w:val="001C623C"/>
    <w:rsid w:val="001E6A54"/>
    <w:rsid w:val="0021280B"/>
    <w:rsid w:val="00284CAB"/>
    <w:rsid w:val="00287448"/>
    <w:rsid w:val="002A04AE"/>
    <w:rsid w:val="00322DD0"/>
    <w:rsid w:val="00330153"/>
    <w:rsid w:val="00343A47"/>
    <w:rsid w:val="00370FD8"/>
    <w:rsid w:val="003B208C"/>
    <w:rsid w:val="003F5145"/>
    <w:rsid w:val="00410AB9"/>
    <w:rsid w:val="004949DF"/>
    <w:rsid w:val="00520E75"/>
    <w:rsid w:val="005245DC"/>
    <w:rsid w:val="005520A9"/>
    <w:rsid w:val="00564D91"/>
    <w:rsid w:val="005A33FB"/>
    <w:rsid w:val="005F6D7A"/>
    <w:rsid w:val="00616F86"/>
    <w:rsid w:val="0065727B"/>
    <w:rsid w:val="006A3250"/>
    <w:rsid w:val="006C6EE8"/>
    <w:rsid w:val="007142DE"/>
    <w:rsid w:val="0072105C"/>
    <w:rsid w:val="00726C7A"/>
    <w:rsid w:val="007300D0"/>
    <w:rsid w:val="00754431"/>
    <w:rsid w:val="0077490D"/>
    <w:rsid w:val="007C444E"/>
    <w:rsid w:val="007E2AE1"/>
    <w:rsid w:val="0084476B"/>
    <w:rsid w:val="00851507"/>
    <w:rsid w:val="008531F5"/>
    <w:rsid w:val="008718D3"/>
    <w:rsid w:val="00920F03"/>
    <w:rsid w:val="009E23B9"/>
    <w:rsid w:val="009E41A1"/>
    <w:rsid w:val="00A14D99"/>
    <w:rsid w:val="00A27EDA"/>
    <w:rsid w:val="00A6393A"/>
    <w:rsid w:val="00AB34B2"/>
    <w:rsid w:val="00AC0531"/>
    <w:rsid w:val="00AE4615"/>
    <w:rsid w:val="00AE732A"/>
    <w:rsid w:val="00AF72AE"/>
    <w:rsid w:val="00B03366"/>
    <w:rsid w:val="00B26476"/>
    <w:rsid w:val="00B509BE"/>
    <w:rsid w:val="00B80E84"/>
    <w:rsid w:val="00B8388B"/>
    <w:rsid w:val="00BA3D52"/>
    <w:rsid w:val="00C0408D"/>
    <w:rsid w:val="00C4405F"/>
    <w:rsid w:val="00CC5C84"/>
    <w:rsid w:val="00CD3522"/>
    <w:rsid w:val="00CD6908"/>
    <w:rsid w:val="00D250CD"/>
    <w:rsid w:val="00D25F76"/>
    <w:rsid w:val="00D460AB"/>
    <w:rsid w:val="00D5192B"/>
    <w:rsid w:val="00D61C2B"/>
    <w:rsid w:val="00D80B90"/>
    <w:rsid w:val="00E344BB"/>
    <w:rsid w:val="00E65A5D"/>
    <w:rsid w:val="00E868DF"/>
    <w:rsid w:val="00EB5ECF"/>
    <w:rsid w:val="00F15BFE"/>
    <w:rsid w:val="00F55996"/>
    <w:rsid w:val="00FA7240"/>
    <w:rsid w:val="00FF77F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1BC845"/>
  <w15:docId w15:val="{766798D7-A0B7-4E2B-B206-36CE2F5E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E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Textoennegrita">
    <w:name w:val="Strong"/>
    <w:basedOn w:val="Fuentedeprrafopredeter"/>
    <w:uiPriority w:val="22"/>
    <w:qFormat/>
    <w:rsid w:val="00287448"/>
    <w:rPr>
      <w:b/>
      <w:bCs/>
    </w:rPr>
  </w:style>
  <w:style w:type="character" w:styleId="Hipervnculo">
    <w:name w:val="Hyperlink"/>
    <w:basedOn w:val="Fuentedeprrafopredeter"/>
    <w:uiPriority w:val="99"/>
    <w:unhideWhenUsed/>
    <w:rsid w:val="00287448"/>
    <w:rPr>
      <w:color w:val="0000FF" w:themeColor="hyperlink"/>
      <w:u w:val="single"/>
    </w:rPr>
  </w:style>
  <w:style w:type="paragraph" w:styleId="Sinespaciado">
    <w:name w:val="No Spacing"/>
    <w:link w:val="SinespaciadoCar"/>
    <w:qFormat/>
    <w:rsid w:val="00BA3D52"/>
    <w:pPr>
      <w:spacing w:after="0" w:line="240" w:lineRule="auto"/>
    </w:pPr>
    <w:rPr>
      <w:rFonts w:ascii="PMingLiU" w:eastAsiaTheme="minorEastAsia" w:hAnsi="PMingLiU"/>
      <w:lang w:val="es-ES_tradnl" w:eastAsia="es-ES"/>
    </w:rPr>
  </w:style>
  <w:style w:type="character" w:customStyle="1" w:styleId="SinespaciadoCar">
    <w:name w:val="Sin espaciado Car"/>
    <w:basedOn w:val="Fuentedeprrafopredeter"/>
    <w:link w:val="Sinespaciado"/>
    <w:rsid w:val="00BA3D52"/>
    <w:rPr>
      <w:rFonts w:ascii="PMingLiU" w:eastAsiaTheme="minorEastAsia" w:hAnsi="PMingLiU"/>
      <w:lang w:val="es-ES_tradnl" w:eastAsia="es-ES"/>
    </w:rPr>
  </w:style>
  <w:style w:type="table" w:styleId="Cuadrculaclara-nfasis6">
    <w:name w:val="Light Grid Accent 6"/>
    <w:basedOn w:val="Tablanormal"/>
    <w:uiPriority w:val="62"/>
    <w:rsid w:val="00D61C2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nfasis2">
    <w:name w:val="Medium Shading 1 Accent 2"/>
    <w:basedOn w:val="Tablanormal"/>
    <w:uiPriority w:val="63"/>
    <w:rsid w:val="00D61C2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D61C2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aconcuadrcula">
    <w:name w:val="Table Grid"/>
    <w:basedOn w:val="Tablanormal"/>
    <w:uiPriority w:val="59"/>
    <w:rsid w:val="00B50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
    <w:uiPriority w:val="99"/>
    <w:unhideWhenUsed/>
    <w:rsid w:val="00B509BE"/>
    <w:rPr>
      <w:vertAlign w:val="superscript"/>
    </w:rPr>
  </w:style>
  <w:style w:type="paragraph" w:styleId="Prrafodelista">
    <w:name w:val="List Paragraph"/>
    <w:basedOn w:val="Normal"/>
    <w:uiPriority w:val="34"/>
    <w:qFormat/>
    <w:rsid w:val="0021280B"/>
    <w:pPr>
      <w:ind w:left="720"/>
      <w:contextualSpacing/>
    </w:pPr>
  </w:style>
  <w:style w:type="paragraph" w:customStyle="1" w:styleId="Default">
    <w:name w:val="Default"/>
    <w:rsid w:val="00330153"/>
    <w:pPr>
      <w:autoSpaceDE w:val="0"/>
      <w:autoSpaceDN w:val="0"/>
      <w:adjustRightInd w:val="0"/>
      <w:spacing w:after="0" w:line="240" w:lineRule="auto"/>
    </w:pPr>
    <w:rPr>
      <w:rFonts w:ascii="Arial" w:hAnsi="Arial" w:cs="Arial"/>
      <w:color w:val="000000"/>
      <w:sz w:val="24"/>
      <w:szCs w:val="24"/>
      <w:lang w:val="es-ES"/>
    </w:rPr>
  </w:style>
  <w:style w:type="paragraph" w:customStyle="1" w:styleId="CUERPOTEXTO">
    <w:name w:val="CUERPO TEXTO"/>
    <w:uiPriority w:val="99"/>
    <w:rsid w:val="00330153"/>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character" w:styleId="Refdecomentario">
    <w:name w:val="annotation reference"/>
    <w:basedOn w:val="Fuentedeprrafopredeter"/>
    <w:uiPriority w:val="99"/>
    <w:semiHidden/>
    <w:unhideWhenUsed/>
    <w:rsid w:val="00330153"/>
    <w:rPr>
      <w:sz w:val="16"/>
      <w:szCs w:val="16"/>
    </w:rPr>
  </w:style>
  <w:style w:type="paragraph" w:styleId="Textocomentario">
    <w:name w:val="annotation text"/>
    <w:basedOn w:val="Normal"/>
    <w:link w:val="TextocomentarioCar"/>
    <w:uiPriority w:val="99"/>
    <w:semiHidden/>
    <w:unhideWhenUsed/>
    <w:rsid w:val="003301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33015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0008D"/>
    <w:pPr>
      <w:spacing w:after="200"/>
    </w:pPr>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00008D"/>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94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437081">
      <w:bodyDiv w:val="1"/>
      <w:marLeft w:val="0"/>
      <w:marRight w:val="0"/>
      <w:marTop w:val="0"/>
      <w:marBottom w:val="0"/>
      <w:divBdr>
        <w:top w:val="none" w:sz="0" w:space="0" w:color="auto"/>
        <w:left w:val="none" w:sz="0" w:space="0" w:color="auto"/>
        <w:bottom w:val="none" w:sz="0" w:space="0" w:color="auto"/>
        <w:right w:val="none" w:sz="0" w:space="0" w:color="auto"/>
      </w:divBdr>
    </w:div>
    <w:div w:id="20476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9B0F7833BAE544A0151DC8E911FE8A" ma:contentTypeVersion="0" ma:contentTypeDescription="Crear nuevo documento." ma:contentTypeScope="" ma:versionID="1ee68485b40aea4d59cbd84f7c718a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E293-A99A-4542-82A7-6E4389F8E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874949-6830-4E48-8A76-D93F18EA43DD}">
  <ds:schemaRefs>
    <ds:schemaRef ds:uri="http://schemas.microsoft.com/sharepoint/v3/contenttype/forms"/>
  </ds:schemaRefs>
</ds:datastoreItem>
</file>

<file path=customXml/itemProps3.xml><?xml version="1.0" encoding="utf-8"?>
<ds:datastoreItem xmlns:ds="http://schemas.openxmlformats.org/officeDocument/2006/customXml" ds:itemID="{10B4A435-97E2-4BC6-9474-9FD1306758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44500D-4148-466D-94B2-C10D314E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U. A. E. de aeronáutica Civil</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Acosta Gutierrez</dc:creator>
  <cp:lastModifiedBy>Lesney Jesus Castañeda Valencia</cp:lastModifiedBy>
  <cp:revision>2</cp:revision>
  <cp:lastPrinted>2018-01-31T15:01:00Z</cp:lastPrinted>
  <dcterms:created xsi:type="dcterms:W3CDTF">2018-05-28T16:31:00Z</dcterms:created>
  <dcterms:modified xsi:type="dcterms:W3CDTF">2018-05-28T16:31:00Z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0x010100D39B0F7833BAE544A0151DC8E911FE8A</vt:lpwstr>
  </property>
  <property fmtid="{D5CDD505-2E9C-101B-9397-08002B2CF9AE}" pid="3" name="IdNivel">
    <vt:lpwstr>NIVEL-1</vt:lpwstr>
  </property>
  <property fmtid="{D5CDD505-2E9C-101B-9397-08002B2CF9AE}" pid="4" name="IdTipoDoc">
    <vt:lpwstr>TIPODOC-1</vt:lpwstr>
  </property>
  <property fmtid="{D5CDD505-2E9C-101B-9397-08002B2CF9AE}" pid="5" name="IdDocTMS">
    <vt:lpwstr>DOCTMS-1</vt:lpwstr>
  </property>
  <property fmtid="{D5CDD505-2E9C-101B-9397-08002B2CF9AE}" pid="6" name="PublicarPDF">
    <vt:lpwstr>1</vt:lpwstr>
  </property>
</Properties>
</file>