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D30" w:rsidRDefault="00CB6D30" w:rsidP="00F62062">
      <w:pPr>
        <w:ind w:right="-106"/>
        <w:jc w:val="center"/>
        <w:rPr>
          <w:rFonts w:cs="Arial"/>
          <w:b/>
        </w:rPr>
      </w:pPr>
      <w:r w:rsidRPr="00F62062">
        <w:rPr>
          <w:rFonts w:cs="Arial"/>
          <w:b/>
        </w:rPr>
        <w:t xml:space="preserve">RESOLUCIÓN No. </w:t>
      </w:r>
    </w:p>
    <w:p w:rsidR="00EB4ED7" w:rsidRPr="00F62062" w:rsidRDefault="00EB4ED7" w:rsidP="002B139A">
      <w:pPr>
        <w:ind w:right="-106"/>
        <w:rPr>
          <w:rFonts w:cs="Arial"/>
          <w:b/>
        </w:rPr>
      </w:pPr>
    </w:p>
    <w:p w:rsidR="00CB6D30" w:rsidRPr="00F62062" w:rsidRDefault="00CB6D30" w:rsidP="00F62062">
      <w:pPr>
        <w:pStyle w:val="Encabezado"/>
        <w:jc w:val="center"/>
        <w:rPr>
          <w:rFonts w:cs="Arial"/>
          <w:b/>
          <w:sz w:val="24"/>
          <w:szCs w:val="24"/>
        </w:rPr>
      </w:pPr>
      <w:r w:rsidRPr="00F62062">
        <w:rPr>
          <w:rFonts w:cs="Arial"/>
          <w:b/>
          <w:sz w:val="24"/>
          <w:szCs w:val="24"/>
        </w:rPr>
        <w:t>(                                     )</w:t>
      </w:r>
    </w:p>
    <w:p w:rsidR="00CB6D30" w:rsidRDefault="00CB6D30" w:rsidP="00F62062">
      <w:pPr>
        <w:pStyle w:val="Encabezado"/>
        <w:ind w:right="-517"/>
        <w:jc w:val="center"/>
        <w:outlineLvl w:val="0"/>
        <w:rPr>
          <w:rFonts w:cs="Arial"/>
          <w:sz w:val="24"/>
          <w:szCs w:val="24"/>
        </w:rPr>
      </w:pPr>
    </w:p>
    <w:p w:rsidR="00736A81" w:rsidRPr="00F62062" w:rsidRDefault="00736A81" w:rsidP="00F62062">
      <w:pPr>
        <w:pStyle w:val="Encabezado"/>
        <w:ind w:right="-517"/>
        <w:jc w:val="center"/>
        <w:outlineLvl w:val="0"/>
        <w:rPr>
          <w:rFonts w:cs="Arial"/>
          <w:sz w:val="24"/>
          <w:szCs w:val="24"/>
        </w:rPr>
      </w:pPr>
    </w:p>
    <w:p w:rsidR="00CB6D30" w:rsidRPr="00F62062" w:rsidRDefault="00CB6D30" w:rsidP="00F62062">
      <w:pPr>
        <w:pStyle w:val="Encabezado"/>
        <w:ind w:right="-517"/>
        <w:jc w:val="center"/>
        <w:outlineLvl w:val="0"/>
        <w:rPr>
          <w:rFonts w:cs="Arial"/>
          <w:sz w:val="24"/>
          <w:szCs w:val="24"/>
        </w:rPr>
      </w:pPr>
      <w:r w:rsidRPr="00F62062">
        <w:rPr>
          <w:rFonts w:cs="Arial"/>
          <w:sz w:val="24"/>
          <w:szCs w:val="24"/>
        </w:rPr>
        <w:t>&lt;&lt;Por la cual se crea un grupo de trabajo y se modifican dos grupos de trabajo en la Subdirección de Permanencia definidos en la Resolución 1710 de 2010&gt;&gt;</w:t>
      </w:r>
    </w:p>
    <w:p w:rsidR="00CB6D30" w:rsidRDefault="00CB6D30" w:rsidP="00F62062">
      <w:pPr>
        <w:pStyle w:val="Encabezado"/>
        <w:ind w:right="-517"/>
        <w:jc w:val="center"/>
        <w:outlineLvl w:val="0"/>
        <w:rPr>
          <w:rFonts w:cs="Arial"/>
          <w:sz w:val="24"/>
          <w:szCs w:val="24"/>
        </w:rPr>
      </w:pPr>
    </w:p>
    <w:p w:rsidR="00736A81" w:rsidRPr="00F62062" w:rsidRDefault="00736A81" w:rsidP="00F62062">
      <w:pPr>
        <w:pStyle w:val="Encabezado"/>
        <w:ind w:right="-517"/>
        <w:jc w:val="center"/>
        <w:outlineLvl w:val="0"/>
        <w:rPr>
          <w:rFonts w:cs="Arial"/>
          <w:sz w:val="24"/>
          <w:szCs w:val="24"/>
        </w:rPr>
      </w:pPr>
    </w:p>
    <w:p w:rsidR="00CB6D30" w:rsidRPr="00F62062" w:rsidRDefault="00CB6D30" w:rsidP="00F62062">
      <w:pPr>
        <w:pStyle w:val="Encabezado"/>
        <w:ind w:right="-517"/>
        <w:jc w:val="center"/>
        <w:outlineLvl w:val="0"/>
        <w:rPr>
          <w:rFonts w:cs="Arial"/>
          <w:b/>
          <w:sz w:val="24"/>
          <w:szCs w:val="24"/>
        </w:rPr>
      </w:pPr>
      <w:r w:rsidRPr="00F62062">
        <w:rPr>
          <w:rFonts w:cs="Arial"/>
          <w:b/>
          <w:sz w:val="24"/>
          <w:szCs w:val="24"/>
        </w:rPr>
        <w:t>LA MINISTRA DE EDUCACIÓN NACIONAL</w:t>
      </w:r>
    </w:p>
    <w:p w:rsidR="00CB6D30" w:rsidRPr="00F62062" w:rsidRDefault="00CB6D30" w:rsidP="00F62062">
      <w:pPr>
        <w:pStyle w:val="Encabezado"/>
        <w:ind w:right="50"/>
        <w:rPr>
          <w:rFonts w:cs="Arial"/>
          <w:sz w:val="24"/>
          <w:szCs w:val="24"/>
        </w:rPr>
      </w:pPr>
    </w:p>
    <w:p w:rsidR="00CB6D30" w:rsidRPr="00F62062" w:rsidRDefault="00CB6D30" w:rsidP="00F62062">
      <w:pPr>
        <w:pStyle w:val="Encabezado"/>
        <w:ind w:right="50"/>
        <w:jc w:val="center"/>
        <w:rPr>
          <w:rFonts w:cs="Arial"/>
          <w:sz w:val="24"/>
          <w:szCs w:val="24"/>
        </w:rPr>
      </w:pPr>
      <w:r w:rsidRPr="00F62062">
        <w:rPr>
          <w:rFonts w:cs="Arial"/>
          <w:sz w:val="24"/>
          <w:szCs w:val="24"/>
        </w:rPr>
        <w:t>En ejercicio de sus facultades legales, en especial las conferidas por el artículo 115 de la Ley 489 de 1998 y el artículo 6 numeral 6.11 del Decreto 5012 de 2009, y</w:t>
      </w:r>
    </w:p>
    <w:p w:rsidR="00CB6D30" w:rsidRDefault="00CB6D30" w:rsidP="00F62062">
      <w:pPr>
        <w:pStyle w:val="Encabezado"/>
        <w:ind w:right="50"/>
        <w:rPr>
          <w:rFonts w:cs="Arial"/>
          <w:sz w:val="24"/>
          <w:szCs w:val="24"/>
        </w:rPr>
      </w:pPr>
    </w:p>
    <w:p w:rsidR="00736A81" w:rsidRPr="00F62062" w:rsidRDefault="00736A81" w:rsidP="00F62062">
      <w:pPr>
        <w:pStyle w:val="Encabezado"/>
        <w:ind w:right="50"/>
        <w:rPr>
          <w:rFonts w:cs="Arial"/>
          <w:sz w:val="24"/>
          <w:szCs w:val="24"/>
        </w:rPr>
      </w:pPr>
    </w:p>
    <w:p w:rsidR="00CB6D30" w:rsidRPr="00F62062" w:rsidRDefault="00CB6D30" w:rsidP="00F62062">
      <w:pPr>
        <w:pStyle w:val="Encabezado"/>
        <w:ind w:right="50"/>
        <w:jc w:val="center"/>
        <w:outlineLvl w:val="0"/>
        <w:rPr>
          <w:rFonts w:cs="Arial"/>
          <w:b/>
          <w:sz w:val="24"/>
          <w:szCs w:val="24"/>
        </w:rPr>
      </w:pPr>
      <w:r w:rsidRPr="00F62062">
        <w:rPr>
          <w:rFonts w:cs="Arial"/>
          <w:b/>
          <w:sz w:val="24"/>
          <w:szCs w:val="24"/>
        </w:rPr>
        <w:t>CONSIDERANDO</w:t>
      </w:r>
    </w:p>
    <w:p w:rsidR="002B139A" w:rsidRDefault="002B139A" w:rsidP="00F62062">
      <w:pPr>
        <w:pStyle w:val="Encabezado"/>
        <w:ind w:right="50"/>
        <w:rPr>
          <w:rFonts w:cs="Arial"/>
          <w:sz w:val="24"/>
          <w:szCs w:val="24"/>
        </w:rPr>
      </w:pPr>
    </w:p>
    <w:p w:rsidR="00CB6D30" w:rsidRPr="00F62062" w:rsidRDefault="00CB6D30" w:rsidP="00F62062">
      <w:pPr>
        <w:pStyle w:val="Encabezado"/>
        <w:ind w:right="50"/>
        <w:rPr>
          <w:rFonts w:cs="Arial"/>
          <w:sz w:val="24"/>
          <w:szCs w:val="24"/>
        </w:rPr>
      </w:pPr>
      <w:r w:rsidRPr="00F62062">
        <w:rPr>
          <w:rFonts w:cs="Arial"/>
          <w:sz w:val="24"/>
          <w:szCs w:val="24"/>
        </w:rPr>
        <w:t>Que de acuerdo con lo ordenado por el artículo 115 de la ley 489 de 1998, el representante legal de la entidad perteneciente a la Rama Ejecutiva del poder público podrá crear y organizar los grupos internos de trabajo permanentes o transitorios que permitan atender las necesidades del servicio y cumplir con eficiencia los objetivos, políticas y programas que ésta tenga a su cargo.</w:t>
      </w:r>
    </w:p>
    <w:p w:rsidR="00CB6D30" w:rsidRPr="00F62062" w:rsidRDefault="00CB6D30" w:rsidP="00F62062">
      <w:pPr>
        <w:pStyle w:val="Encabezado"/>
        <w:ind w:right="50"/>
        <w:rPr>
          <w:rFonts w:cs="Arial"/>
          <w:sz w:val="24"/>
          <w:szCs w:val="24"/>
        </w:rPr>
      </w:pPr>
    </w:p>
    <w:p w:rsidR="00CB6D30" w:rsidRPr="00F62062" w:rsidRDefault="00CB6D30" w:rsidP="00F62062">
      <w:pPr>
        <w:pStyle w:val="Encabezado"/>
        <w:ind w:right="50"/>
        <w:rPr>
          <w:rFonts w:cs="Arial"/>
          <w:sz w:val="24"/>
          <w:szCs w:val="24"/>
        </w:rPr>
      </w:pPr>
      <w:r w:rsidRPr="00F62062">
        <w:rPr>
          <w:rFonts w:cs="Arial"/>
          <w:color w:val="000000" w:themeColor="text1"/>
          <w:sz w:val="24"/>
          <w:szCs w:val="24"/>
        </w:rPr>
        <w:t>Que el Decreto 5012 de 2009</w:t>
      </w:r>
      <w:r w:rsidR="0064426E">
        <w:rPr>
          <w:rFonts w:cs="Arial"/>
          <w:color w:val="000000" w:themeColor="text1"/>
          <w:sz w:val="24"/>
          <w:szCs w:val="24"/>
        </w:rPr>
        <w:t xml:space="preserve">, </w:t>
      </w:r>
      <w:r w:rsidRPr="00F62062">
        <w:rPr>
          <w:rFonts w:cs="Arial"/>
          <w:color w:val="000000" w:themeColor="text1"/>
          <w:sz w:val="24"/>
          <w:szCs w:val="24"/>
        </w:rPr>
        <w:t xml:space="preserve">modificó la estructura del Ministerio de Educación Nacional y determino las funciones de sus dependencias, estableciendo </w:t>
      </w:r>
      <w:r w:rsidRPr="00F62062">
        <w:rPr>
          <w:rFonts w:cs="Arial"/>
          <w:sz w:val="24"/>
          <w:szCs w:val="24"/>
        </w:rPr>
        <w:t>en su artículo 6.11°, la función del Ministro de Educación Nacional de crear y organizar los grupos internos de trabajo.</w:t>
      </w:r>
    </w:p>
    <w:p w:rsidR="00CB6D30" w:rsidRPr="00F62062" w:rsidRDefault="00CB6D30" w:rsidP="00F62062">
      <w:pPr>
        <w:pStyle w:val="Encabezado"/>
        <w:ind w:right="50"/>
        <w:rPr>
          <w:rFonts w:cs="Arial"/>
          <w:color w:val="000000" w:themeColor="text1"/>
          <w:sz w:val="24"/>
          <w:szCs w:val="24"/>
        </w:rPr>
      </w:pPr>
    </w:p>
    <w:p w:rsidR="00CB6D30" w:rsidRPr="00F62062" w:rsidRDefault="00CB6D30" w:rsidP="00F62062">
      <w:pPr>
        <w:pStyle w:val="Encabezado"/>
        <w:ind w:right="50"/>
        <w:rPr>
          <w:rFonts w:cs="Arial"/>
          <w:color w:val="000000" w:themeColor="text1"/>
          <w:sz w:val="24"/>
          <w:szCs w:val="24"/>
        </w:rPr>
      </w:pPr>
      <w:r w:rsidRPr="00F62062">
        <w:rPr>
          <w:rFonts w:cs="Arial"/>
          <w:color w:val="000000" w:themeColor="text1"/>
          <w:sz w:val="24"/>
          <w:szCs w:val="24"/>
        </w:rPr>
        <w:t>Que los numerales 39.1, 39.3 y 39.11 del artículo 39 del referido Decreto 5012 de 2009, establecen como competencias de la Subdirecci</w:t>
      </w:r>
      <w:r w:rsidR="0064426E">
        <w:rPr>
          <w:rFonts w:cs="Arial"/>
          <w:color w:val="000000" w:themeColor="text1"/>
          <w:sz w:val="24"/>
          <w:szCs w:val="24"/>
        </w:rPr>
        <w:t>ón de Desarrollo Organizacional</w:t>
      </w:r>
      <w:r w:rsidRPr="00F62062">
        <w:rPr>
          <w:rFonts w:cs="Arial"/>
          <w:color w:val="000000" w:themeColor="text1"/>
          <w:sz w:val="24"/>
          <w:szCs w:val="24"/>
        </w:rPr>
        <w:t>: «</w:t>
      </w:r>
      <w:r w:rsidRPr="00F62062">
        <w:rPr>
          <w:rFonts w:cs="Arial"/>
          <w:i/>
          <w:color w:val="000000" w:themeColor="text1"/>
          <w:sz w:val="24"/>
          <w:szCs w:val="24"/>
        </w:rPr>
        <w:t xml:space="preserve">Recibir, diseñar y realizar el seguimiento a la implantación de las mejoras efectuadas a los procesos del modelo operacional del Ministerio de Educación Nacional»; «Diseñar y coordinar el proceso global de planificación del sector en aspectos técnicos, económicos y administrativos» </w:t>
      </w:r>
      <w:r w:rsidRPr="00F62062">
        <w:rPr>
          <w:rFonts w:cs="Arial"/>
          <w:color w:val="000000" w:themeColor="text1"/>
          <w:sz w:val="24"/>
          <w:szCs w:val="24"/>
        </w:rPr>
        <w:t>y «Formular y ejecutar acciones que involucren Entidades Adscritas y Vinculadas, con el fin de dar cumplimiento a las políticas de modernización de la Administración Pública».</w:t>
      </w:r>
    </w:p>
    <w:p w:rsidR="00CB6D30" w:rsidRPr="00F62062" w:rsidRDefault="00CB6D30" w:rsidP="00F62062">
      <w:pPr>
        <w:pStyle w:val="Encabezado"/>
        <w:ind w:right="50"/>
        <w:rPr>
          <w:rFonts w:cs="Arial"/>
          <w:color w:val="000000" w:themeColor="text1"/>
          <w:sz w:val="24"/>
          <w:szCs w:val="24"/>
        </w:rPr>
      </w:pPr>
    </w:p>
    <w:p w:rsidR="00CB6D30" w:rsidRPr="00F62062" w:rsidRDefault="00CB6D30" w:rsidP="00F62062">
      <w:pPr>
        <w:pStyle w:val="Encabezado"/>
        <w:ind w:right="50"/>
        <w:rPr>
          <w:rFonts w:cs="Arial"/>
          <w:sz w:val="24"/>
          <w:szCs w:val="24"/>
        </w:rPr>
      </w:pPr>
      <w:r w:rsidRPr="00F62062">
        <w:rPr>
          <w:rFonts w:cs="Arial"/>
          <w:sz w:val="24"/>
          <w:szCs w:val="24"/>
        </w:rPr>
        <w:t>Que mediante la Resolución 1710 de 2010 se crearon los grupos internos de trabajo «</w:t>
      </w:r>
      <w:r w:rsidRPr="00F62062">
        <w:rPr>
          <w:rFonts w:cs="Arial"/>
          <w:i/>
          <w:sz w:val="24"/>
          <w:szCs w:val="24"/>
        </w:rPr>
        <w:t>Programas Generales</w:t>
      </w:r>
      <w:r w:rsidRPr="00F62062">
        <w:rPr>
          <w:rFonts w:cs="Arial"/>
          <w:sz w:val="24"/>
          <w:szCs w:val="24"/>
        </w:rPr>
        <w:t>» y «</w:t>
      </w:r>
      <w:r w:rsidRPr="00F62062">
        <w:rPr>
          <w:rFonts w:cs="Arial"/>
          <w:i/>
          <w:sz w:val="24"/>
          <w:szCs w:val="24"/>
        </w:rPr>
        <w:t>Poblaciones en condiciones de vulnerabilidad</w:t>
      </w:r>
      <w:r w:rsidRPr="00F62062">
        <w:rPr>
          <w:rFonts w:cs="Arial"/>
          <w:sz w:val="24"/>
          <w:szCs w:val="24"/>
        </w:rPr>
        <w:t>» en la Subdirección de Permanencia, y se determinaron las competencias a su cargo.</w:t>
      </w:r>
    </w:p>
    <w:p w:rsidR="00CB6D30" w:rsidRPr="00F62062" w:rsidRDefault="00CB6D30" w:rsidP="00F62062">
      <w:pPr>
        <w:pStyle w:val="Encabezado"/>
        <w:ind w:right="50"/>
        <w:rPr>
          <w:rFonts w:cs="Arial"/>
          <w:sz w:val="24"/>
          <w:szCs w:val="24"/>
        </w:rPr>
      </w:pPr>
    </w:p>
    <w:p w:rsidR="00CB6D30" w:rsidRPr="00F62062" w:rsidRDefault="00CB6D30" w:rsidP="00F62062">
      <w:pPr>
        <w:pStyle w:val="Encabezado"/>
        <w:ind w:right="50"/>
        <w:rPr>
          <w:rFonts w:cs="Arial"/>
          <w:sz w:val="24"/>
          <w:szCs w:val="24"/>
        </w:rPr>
      </w:pPr>
      <w:r w:rsidRPr="00F62062">
        <w:rPr>
          <w:rFonts w:cs="Arial"/>
          <w:sz w:val="24"/>
          <w:szCs w:val="24"/>
        </w:rPr>
        <w:t xml:space="preserve">Que mediante el «Acuerdo final </w:t>
      </w:r>
      <w:r w:rsidRPr="00F62062">
        <w:rPr>
          <w:rFonts w:cs="Arial"/>
          <w:sz w:val="24"/>
          <w:szCs w:val="24"/>
        </w:rPr>
        <w:tab/>
        <w:t>para la terminación del conflicto y la construcción de una paz estable y</w:t>
      </w:r>
      <w:r w:rsidRPr="00F62062">
        <w:rPr>
          <w:rFonts w:cs="Arial"/>
          <w:sz w:val="24"/>
          <w:szCs w:val="24"/>
        </w:rPr>
        <w:tab/>
        <w:t xml:space="preserve"> duradera», se acordó entre las partes la «creación e implementación del Plan Especial de</w:t>
      </w:r>
      <w:r w:rsidRPr="00F62062">
        <w:rPr>
          <w:rFonts w:cs="Arial"/>
          <w:sz w:val="24"/>
          <w:szCs w:val="24"/>
        </w:rPr>
        <w:tab/>
        <w:t xml:space="preserve"> Educación Rural» con trece criterios específicos que por competencia están asignados a la Subdirección de Permanencia en el ciclo de la educación preescolar, básica y media.</w:t>
      </w:r>
    </w:p>
    <w:p w:rsidR="00CB6D30" w:rsidRPr="00F62062" w:rsidRDefault="00CB6D30" w:rsidP="00F62062">
      <w:pPr>
        <w:pStyle w:val="Encabezado"/>
        <w:ind w:right="50"/>
        <w:rPr>
          <w:rFonts w:cs="Arial"/>
          <w:sz w:val="24"/>
          <w:szCs w:val="24"/>
        </w:rPr>
      </w:pPr>
    </w:p>
    <w:p w:rsidR="00CB6D30" w:rsidRPr="00F62062" w:rsidRDefault="00CB6D30" w:rsidP="00F62062">
      <w:pPr>
        <w:pStyle w:val="Encabezado"/>
        <w:ind w:right="50"/>
        <w:rPr>
          <w:rFonts w:cs="Arial"/>
          <w:color w:val="000000" w:themeColor="text1"/>
          <w:sz w:val="24"/>
          <w:szCs w:val="24"/>
          <w:lang w:val="es-ES"/>
        </w:rPr>
      </w:pPr>
      <w:r w:rsidRPr="00F62062">
        <w:rPr>
          <w:rFonts w:cs="Arial"/>
          <w:color w:val="000000" w:themeColor="text1"/>
          <w:sz w:val="24"/>
          <w:szCs w:val="24"/>
          <w:lang w:val="es-ES"/>
        </w:rPr>
        <w:t xml:space="preserve">Qué en razón a lo anterior, se hace necesario actualizar la forma de organización interna de la Subdirección de Permanencia y crear un nuevo grupo interno de trabajo, toda vez que dos grupos </w:t>
      </w:r>
      <w:r w:rsidR="00F62062" w:rsidRPr="00F62062">
        <w:rPr>
          <w:rFonts w:cs="Arial"/>
          <w:color w:val="000000" w:themeColor="text1"/>
          <w:sz w:val="24"/>
          <w:szCs w:val="24"/>
          <w:lang w:val="es-ES"/>
        </w:rPr>
        <w:t>son</w:t>
      </w:r>
      <w:r w:rsidRPr="00F62062">
        <w:rPr>
          <w:rFonts w:cs="Arial"/>
          <w:color w:val="000000" w:themeColor="text1"/>
          <w:sz w:val="24"/>
          <w:szCs w:val="24"/>
          <w:lang w:val="es-ES"/>
        </w:rPr>
        <w:t xml:space="preserve"> insuficientes para cumplir efectivamente con los objetivos y funciones propuestas, orientadas al desarrollo de iniciativas en la educación rural y para jóvenes y adultos, que se adelantarán por el Ministerio de Educación Nacional con las Entidades Territoriales Certificadas.</w:t>
      </w:r>
    </w:p>
    <w:p w:rsidR="00736A81" w:rsidRPr="00F62062" w:rsidRDefault="00736A81" w:rsidP="00F62062">
      <w:pPr>
        <w:pStyle w:val="Encabezado"/>
        <w:ind w:right="50"/>
        <w:rPr>
          <w:rFonts w:cs="Arial"/>
          <w:sz w:val="24"/>
          <w:szCs w:val="24"/>
        </w:rPr>
      </w:pPr>
    </w:p>
    <w:p w:rsidR="00CB6D30" w:rsidRPr="00F62062" w:rsidRDefault="00CB6D30" w:rsidP="00F62062">
      <w:pPr>
        <w:pStyle w:val="Encabezado"/>
        <w:ind w:right="50"/>
        <w:rPr>
          <w:rFonts w:cs="Arial"/>
          <w:sz w:val="24"/>
          <w:szCs w:val="24"/>
        </w:rPr>
      </w:pPr>
      <w:proofErr w:type="gramStart"/>
      <w:r w:rsidRPr="00F62062">
        <w:rPr>
          <w:rFonts w:cs="Arial"/>
          <w:sz w:val="24"/>
          <w:szCs w:val="24"/>
        </w:rPr>
        <w:t>Que</w:t>
      </w:r>
      <w:proofErr w:type="gramEnd"/>
      <w:r w:rsidR="00EB4ED7">
        <w:rPr>
          <w:rFonts w:cs="Arial"/>
          <w:sz w:val="24"/>
          <w:szCs w:val="24"/>
        </w:rPr>
        <w:t xml:space="preserve"> </w:t>
      </w:r>
      <w:r w:rsidRPr="00F62062">
        <w:rPr>
          <w:rFonts w:cs="Arial"/>
          <w:sz w:val="24"/>
          <w:szCs w:val="24"/>
        </w:rPr>
        <w:t>en mérito de lo expuesto,</w:t>
      </w:r>
    </w:p>
    <w:p w:rsidR="00CB6D30" w:rsidRDefault="00CB6D30" w:rsidP="00F62062">
      <w:pPr>
        <w:pStyle w:val="Encabezado"/>
        <w:ind w:right="50"/>
        <w:rPr>
          <w:rFonts w:cs="Arial"/>
          <w:sz w:val="24"/>
          <w:szCs w:val="24"/>
        </w:rPr>
      </w:pPr>
    </w:p>
    <w:p w:rsidR="00736A81" w:rsidRDefault="00736A81" w:rsidP="00F62062">
      <w:pPr>
        <w:pStyle w:val="Encabezado"/>
        <w:ind w:right="50"/>
        <w:jc w:val="center"/>
        <w:outlineLvl w:val="0"/>
        <w:rPr>
          <w:rFonts w:cs="Arial"/>
          <w:b/>
          <w:sz w:val="24"/>
          <w:szCs w:val="24"/>
        </w:rPr>
      </w:pPr>
    </w:p>
    <w:p w:rsidR="00CB6D30" w:rsidRDefault="00CB6D30" w:rsidP="00F62062">
      <w:pPr>
        <w:pStyle w:val="Encabezado"/>
        <w:ind w:right="50"/>
        <w:jc w:val="center"/>
        <w:outlineLvl w:val="0"/>
        <w:rPr>
          <w:rFonts w:cs="Arial"/>
          <w:b/>
          <w:sz w:val="24"/>
          <w:szCs w:val="24"/>
        </w:rPr>
      </w:pPr>
      <w:r w:rsidRPr="00F62062">
        <w:rPr>
          <w:rFonts w:cs="Arial"/>
          <w:b/>
          <w:sz w:val="24"/>
          <w:szCs w:val="24"/>
        </w:rPr>
        <w:t>RESUELVE</w:t>
      </w:r>
    </w:p>
    <w:p w:rsidR="00CB6D30" w:rsidRPr="00F62062" w:rsidRDefault="00CB6D30" w:rsidP="00F62062">
      <w:pPr>
        <w:pStyle w:val="Encabezado"/>
        <w:ind w:right="50"/>
        <w:rPr>
          <w:rFonts w:cs="Arial"/>
          <w:b/>
          <w:sz w:val="24"/>
          <w:szCs w:val="24"/>
        </w:rPr>
      </w:pPr>
    </w:p>
    <w:p w:rsidR="00CB6D30" w:rsidRPr="00F62062" w:rsidRDefault="00CB6D30" w:rsidP="00F62062">
      <w:pPr>
        <w:pStyle w:val="Encabezado"/>
        <w:ind w:right="50"/>
        <w:rPr>
          <w:rFonts w:cs="Arial"/>
          <w:sz w:val="24"/>
          <w:szCs w:val="24"/>
        </w:rPr>
      </w:pPr>
      <w:r w:rsidRPr="00F62062">
        <w:rPr>
          <w:rFonts w:cs="Arial"/>
          <w:b/>
          <w:sz w:val="24"/>
          <w:szCs w:val="24"/>
        </w:rPr>
        <w:t xml:space="preserve">ARTÍCULO 1°. Creación de un grupo interno de trabajo en la Subdirección de Permanencia. </w:t>
      </w:r>
      <w:r w:rsidRPr="00F62062">
        <w:rPr>
          <w:rFonts w:cs="Arial"/>
          <w:sz w:val="24"/>
          <w:szCs w:val="24"/>
        </w:rPr>
        <w:t>Créese el siguiente grupo interno de trabajo en la Subdirección de Permanencia, el cual se denominará así:</w:t>
      </w:r>
    </w:p>
    <w:p w:rsidR="00CB6D30" w:rsidRPr="00F62062" w:rsidRDefault="00CB6D30" w:rsidP="00F62062">
      <w:pPr>
        <w:pStyle w:val="Encabezado"/>
        <w:ind w:right="50"/>
        <w:rPr>
          <w:rFonts w:cs="Arial"/>
          <w:sz w:val="24"/>
          <w:szCs w:val="24"/>
        </w:rPr>
      </w:pPr>
    </w:p>
    <w:p w:rsidR="00CB6D30" w:rsidRPr="00F62062" w:rsidRDefault="00CB6D30" w:rsidP="00F62062">
      <w:pPr>
        <w:tabs>
          <w:tab w:val="center" w:pos="4252"/>
          <w:tab w:val="right" w:pos="8504"/>
        </w:tabs>
        <w:ind w:right="50"/>
        <w:jc w:val="both"/>
        <w:rPr>
          <w:rFonts w:cs="Arial"/>
          <w:b/>
          <w:bCs/>
          <w:color w:val="000000" w:themeColor="text1"/>
          <w:lang w:val="es-CO"/>
        </w:rPr>
      </w:pPr>
      <w:r w:rsidRPr="00F62062">
        <w:rPr>
          <w:rFonts w:cs="Arial"/>
          <w:b/>
          <w:bCs/>
          <w:color w:val="000000" w:themeColor="text1"/>
          <w:lang w:val="es-CO"/>
        </w:rPr>
        <w:t>EDUCACIÓN EN EL MEDIO RURAL Y PARA JOVENES Y ADULTOS</w:t>
      </w:r>
    </w:p>
    <w:p w:rsidR="00CB6D30" w:rsidRPr="00F62062" w:rsidRDefault="00CB6D30" w:rsidP="00F62062">
      <w:pPr>
        <w:tabs>
          <w:tab w:val="center" w:pos="4252"/>
          <w:tab w:val="right" w:pos="8504"/>
        </w:tabs>
        <w:ind w:right="50"/>
        <w:jc w:val="both"/>
        <w:rPr>
          <w:rFonts w:cs="Arial"/>
          <w:b/>
          <w:bCs/>
          <w:color w:val="000000" w:themeColor="text1"/>
          <w:lang w:val="es-CO"/>
        </w:rPr>
      </w:pPr>
    </w:p>
    <w:p w:rsidR="00CB6D30" w:rsidRPr="00F62062" w:rsidRDefault="00CB6D30" w:rsidP="00F62062">
      <w:pPr>
        <w:tabs>
          <w:tab w:val="center" w:pos="4252"/>
          <w:tab w:val="right" w:pos="8504"/>
        </w:tabs>
        <w:ind w:right="50"/>
        <w:jc w:val="both"/>
        <w:rPr>
          <w:rFonts w:eastAsia="Calibri" w:cs="Arial"/>
          <w:color w:val="000000" w:themeColor="text1"/>
        </w:rPr>
      </w:pPr>
      <w:r w:rsidRPr="00F62062">
        <w:rPr>
          <w:rFonts w:cs="Arial"/>
          <w:b/>
          <w:bCs/>
          <w:color w:val="000000" w:themeColor="text1"/>
          <w:lang w:val="es-CO"/>
        </w:rPr>
        <w:t xml:space="preserve">Finalidad: </w:t>
      </w:r>
      <w:r w:rsidRPr="00F62062">
        <w:rPr>
          <w:rFonts w:cs="Arial"/>
          <w:bCs/>
          <w:color w:val="000000" w:themeColor="text1"/>
          <w:lang w:val="es-CO"/>
        </w:rPr>
        <w:t>Orientar las Entidades Territoriales Certificadas para la organización de la oferta educativa en el medio rural y rural disperso, la incidencia en la reducción de la tasa de analfabetismo y el fortalecimiento de la educación formal de jóvenes y adultos.</w:t>
      </w:r>
    </w:p>
    <w:p w:rsidR="00CB6D30" w:rsidRPr="00F62062" w:rsidRDefault="00CB6D30" w:rsidP="00F62062">
      <w:pPr>
        <w:tabs>
          <w:tab w:val="center" w:pos="4252"/>
          <w:tab w:val="right" w:pos="8504"/>
        </w:tabs>
        <w:ind w:right="50"/>
        <w:jc w:val="both"/>
        <w:rPr>
          <w:rFonts w:eastAsia="Calibri" w:cs="Arial"/>
          <w:color w:val="000000" w:themeColor="text1"/>
        </w:rPr>
      </w:pPr>
    </w:p>
    <w:p w:rsidR="00CB6D30" w:rsidRPr="00F62062" w:rsidRDefault="00CB6D30" w:rsidP="00F62062">
      <w:pPr>
        <w:tabs>
          <w:tab w:val="center" w:pos="4252"/>
          <w:tab w:val="right" w:pos="8504"/>
        </w:tabs>
        <w:ind w:right="50"/>
        <w:jc w:val="both"/>
        <w:rPr>
          <w:rFonts w:cs="Arial"/>
          <w:bCs/>
          <w:color w:val="000000" w:themeColor="text1"/>
          <w:lang w:val="es-CO"/>
        </w:rPr>
      </w:pPr>
      <w:r w:rsidRPr="00F62062">
        <w:rPr>
          <w:rFonts w:cs="Arial"/>
          <w:bCs/>
          <w:color w:val="000000" w:themeColor="text1"/>
          <w:lang w:val="es-CO"/>
        </w:rPr>
        <w:t>Serán funciones del grupo las siguientes:</w:t>
      </w:r>
    </w:p>
    <w:p w:rsidR="00CB6D30" w:rsidRPr="00F62062" w:rsidRDefault="00CB6D30" w:rsidP="00F62062">
      <w:pPr>
        <w:tabs>
          <w:tab w:val="center" w:pos="4252"/>
          <w:tab w:val="right" w:pos="8504"/>
        </w:tabs>
        <w:ind w:right="50"/>
        <w:jc w:val="both"/>
        <w:rPr>
          <w:rFonts w:eastAsia="Calibri" w:cs="Arial"/>
          <w:color w:val="000000" w:themeColor="text1"/>
          <w:lang w:val="es-CO"/>
        </w:rPr>
      </w:pPr>
    </w:p>
    <w:p w:rsidR="00CB6D30" w:rsidRPr="00F62062" w:rsidRDefault="00CB6D30" w:rsidP="00F62062">
      <w:pPr>
        <w:pStyle w:val="Prrafodelista"/>
        <w:numPr>
          <w:ilvl w:val="0"/>
          <w:numId w:val="11"/>
        </w:numPr>
        <w:jc w:val="both"/>
        <w:rPr>
          <w:rFonts w:cs="Arial"/>
          <w:bCs/>
          <w:color w:val="000000" w:themeColor="text1"/>
          <w:lang w:val="es-CO"/>
        </w:rPr>
      </w:pPr>
      <w:r w:rsidRPr="00F62062">
        <w:rPr>
          <w:rFonts w:cs="Arial"/>
          <w:color w:val="000000" w:themeColor="text1"/>
        </w:rPr>
        <w:t xml:space="preserve">Prestar asistencia técnica a las entidades territoriales </w:t>
      </w:r>
      <w:r w:rsidRPr="00F62062">
        <w:rPr>
          <w:rFonts w:cs="Arial"/>
          <w:bCs/>
          <w:color w:val="000000" w:themeColor="text1"/>
          <w:lang w:val="es-CO"/>
        </w:rPr>
        <w:t xml:space="preserve">para el fortalecimiento de acciones en materia de cobertura educativa en el medio rural y rural disperso. </w:t>
      </w:r>
    </w:p>
    <w:p w:rsidR="00CB6D30" w:rsidRPr="00F62062" w:rsidRDefault="00CB6D30" w:rsidP="00F62062">
      <w:pPr>
        <w:jc w:val="both"/>
        <w:rPr>
          <w:rFonts w:cs="Arial"/>
          <w:bCs/>
          <w:color w:val="000000" w:themeColor="text1"/>
          <w:lang w:val="es-CO"/>
        </w:rPr>
      </w:pPr>
    </w:p>
    <w:p w:rsidR="00CB6D30" w:rsidRPr="00F62062" w:rsidRDefault="00CB6D30" w:rsidP="00F62062">
      <w:pPr>
        <w:pStyle w:val="Prrafodelista"/>
        <w:numPr>
          <w:ilvl w:val="0"/>
          <w:numId w:val="11"/>
        </w:numPr>
        <w:jc w:val="both"/>
        <w:rPr>
          <w:rFonts w:cs="Arial"/>
          <w:bCs/>
          <w:color w:val="000000" w:themeColor="text1"/>
          <w:lang w:val="es-CO"/>
        </w:rPr>
      </w:pPr>
      <w:r w:rsidRPr="00F62062">
        <w:rPr>
          <w:rFonts w:cs="Arial"/>
          <w:color w:val="000000" w:themeColor="text1"/>
        </w:rPr>
        <w:t xml:space="preserve">Coordinar con las entidades territoriales </w:t>
      </w:r>
      <w:r w:rsidRPr="00F62062">
        <w:rPr>
          <w:rFonts w:cs="Arial"/>
          <w:bCs/>
          <w:color w:val="000000" w:themeColor="text1"/>
          <w:lang w:val="es-CO"/>
        </w:rPr>
        <w:t xml:space="preserve">certificadas y otras entidades del </w:t>
      </w:r>
      <w:r w:rsidR="0064426E">
        <w:rPr>
          <w:rFonts w:cs="Arial"/>
          <w:bCs/>
          <w:color w:val="000000" w:themeColor="text1"/>
          <w:lang w:val="es-CO"/>
        </w:rPr>
        <w:t>G</w:t>
      </w:r>
      <w:r w:rsidRPr="00F62062">
        <w:rPr>
          <w:rFonts w:cs="Arial"/>
          <w:bCs/>
          <w:color w:val="000000" w:themeColor="text1"/>
          <w:lang w:val="es-CO"/>
        </w:rPr>
        <w:t xml:space="preserve">obierno nacional </w:t>
      </w:r>
      <w:r w:rsidRPr="00F62062">
        <w:rPr>
          <w:rFonts w:cs="Arial"/>
          <w:color w:val="000000" w:themeColor="text1"/>
        </w:rPr>
        <w:t xml:space="preserve">la formulación e implementación de estrategias </w:t>
      </w:r>
      <w:r w:rsidRPr="00F62062">
        <w:rPr>
          <w:rFonts w:cs="Arial"/>
          <w:bCs/>
          <w:color w:val="000000" w:themeColor="text1"/>
          <w:lang w:val="es-CO"/>
        </w:rPr>
        <w:t xml:space="preserve">para la reducción de la tasa de analfabetismo en el país y el fortalecimiento de la educación formal de jóvenes y adultos. </w:t>
      </w:r>
    </w:p>
    <w:p w:rsidR="00CB6D30" w:rsidRPr="00F62062" w:rsidRDefault="00CB6D30" w:rsidP="00F62062">
      <w:pPr>
        <w:jc w:val="both"/>
        <w:rPr>
          <w:rFonts w:cs="Arial"/>
          <w:bCs/>
          <w:color w:val="000000" w:themeColor="text1"/>
          <w:lang w:val="es-CO"/>
        </w:rPr>
      </w:pPr>
    </w:p>
    <w:p w:rsidR="00CB6D30" w:rsidRPr="00F62062" w:rsidRDefault="00CB6D30" w:rsidP="00F62062">
      <w:pPr>
        <w:pStyle w:val="Prrafodelista"/>
        <w:numPr>
          <w:ilvl w:val="0"/>
          <w:numId w:val="11"/>
        </w:numPr>
        <w:jc w:val="both"/>
        <w:rPr>
          <w:rFonts w:cs="Arial"/>
          <w:bCs/>
          <w:color w:val="000000" w:themeColor="text1"/>
          <w:lang w:val="es-CO"/>
        </w:rPr>
      </w:pPr>
      <w:r w:rsidRPr="00F62062">
        <w:rPr>
          <w:rFonts w:cs="Arial"/>
          <w:bCs/>
          <w:color w:val="000000" w:themeColor="text1"/>
          <w:lang w:val="es-CO"/>
        </w:rPr>
        <w:t xml:space="preserve">Formular política pública en educación en el medio rural y educación formal para jóvenes y adultos. </w:t>
      </w:r>
    </w:p>
    <w:p w:rsidR="00CB6D30" w:rsidRPr="00F62062" w:rsidRDefault="00CB6D30" w:rsidP="00F62062">
      <w:pPr>
        <w:jc w:val="both"/>
        <w:rPr>
          <w:rFonts w:cs="Arial"/>
          <w:bCs/>
          <w:color w:val="000000" w:themeColor="text1"/>
          <w:lang w:val="es-CO"/>
        </w:rPr>
      </w:pPr>
    </w:p>
    <w:p w:rsidR="00CB6D30" w:rsidRPr="00F62062" w:rsidRDefault="00CB6D30" w:rsidP="00F62062">
      <w:pPr>
        <w:pStyle w:val="Prrafodelista"/>
        <w:numPr>
          <w:ilvl w:val="0"/>
          <w:numId w:val="11"/>
        </w:numPr>
        <w:jc w:val="both"/>
        <w:rPr>
          <w:rFonts w:cs="Arial"/>
          <w:bCs/>
          <w:color w:val="000000" w:themeColor="text1"/>
          <w:lang w:val="es-CO"/>
        </w:rPr>
      </w:pPr>
      <w:r w:rsidRPr="00F62062">
        <w:rPr>
          <w:rFonts w:cs="Arial"/>
          <w:bCs/>
          <w:color w:val="000000" w:themeColor="text1"/>
          <w:lang w:val="es-CO"/>
        </w:rPr>
        <w:t xml:space="preserve">Generar estrategias de articulación con entidades públicas o privadas del orden nacional e internacional, con el fin de definir acciones integrales para la educación en el medio rural y para jóvenes y adultos encaminada al mejoramiento de las tasas de cobertura y de analfabetismo. </w:t>
      </w:r>
    </w:p>
    <w:p w:rsidR="00CB6D30" w:rsidRPr="00F62062" w:rsidRDefault="00CB6D30" w:rsidP="00F62062">
      <w:pPr>
        <w:jc w:val="both"/>
        <w:rPr>
          <w:rFonts w:cs="Arial"/>
          <w:bCs/>
          <w:color w:val="000000" w:themeColor="text1"/>
          <w:lang w:val="es-CO"/>
        </w:rPr>
      </w:pPr>
    </w:p>
    <w:p w:rsidR="00CB6D30" w:rsidRPr="00F62062" w:rsidRDefault="00CB6D30" w:rsidP="00F62062">
      <w:pPr>
        <w:pStyle w:val="Prrafodelista"/>
        <w:numPr>
          <w:ilvl w:val="0"/>
          <w:numId w:val="11"/>
        </w:numPr>
        <w:jc w:val="both"/>
        <w:rPr>
          <w:rFonts w:cs="Arial"/>
          <w:color w:val="000000" w:themeColor="text1"/>
        </w:rPr>
      </w:pPr>
      <w:r w:rsidRPr="00F62062">
        <w:rPr>
          <w:rFonts w:cs="Arial"/>
          <w:color w:val="000000" w:themeColor="text1"/>
        </w:rPr>
        <w:t>Hacer seguimiento a los proyectos estratégicos asignados para dar cumplimiento a los planes y objetivos de la dependencia.</w:t>
      </w:r>
    </w:p>
    <w:p w:rsidR="00CB6D30" w:rsidRPr="00F62062" w:rsidRDefault="00CB6D30" w:rsidP="00F62062">
      <w:pPr>
        <w:jc w:val="both"/>
        <w:rPr>
          <w:rFonts w:cs="Arial"/>
          <w:color w:val="000000" w:themeColor="text1"/>
        </w:rPr>
      </w:pPr>
    </w:p>
    <w:p w:rsidR="00CB6D30" w:rsidRPr="00F62062" w:rsidRDefault="00CB6D30" w:rsidP="00F62062">
      <w:pPr>
        <w:pStyle w:val="Prrafodelista"/>
        <w:numPr>
          <w:ilvl w:val="0"/>
          <w:numId w:val="11"/>
        </w:numPr>
        <w:jc w:val="both"/>
        <w:rPr>
          <w:rFonts w:cs="Arial"/>
          <w:color w:val="000000" w:themeColor="text1"/>
        </w:rPr>
      </w:pPr>
      <w:r w:rsidRPr="00F62062">
        <w:rPr>
          <w:rFonts w:cs="Arial"/>
          <w:color w:val="000000" w:themeColor="text1"/>
        </w:rPr>
        <w:t>Preparar informes de indicadores, realizar reportes sobre la gestión efectuada para dar cumplimento a los planes y objetivos de la dependencia.</w:t>
      </w:r>
    </w:p>
    <w:p w:rsidR="00CB6D30" w:rsidRPr="00F62062" w:rsidRDefault="00CB6D30" w:rsidP="00F62062">
      <w:pPr>
        <w:jc w:val="both"/>
        <w:rPr>
          <w:rFonts w:cs="Arial"/>
          <w:color w:val="000000" w:themeColor="text1"/>
        </w:rPr>
      </w:pPr>
    </w:p>
    <w:p w:rsidR="00CB6D30" w:rsidRPr="00F62062" w:rsidRDefault="00CB6D30" w:rsidP="00F62062">
      <w:pPr>
        <w:pStyle w:val="Prrafodelista"/>
        <w:numPr>
          <w:ilvl w:val="0"/>
          <w:numId w:val="11"/>
        </w:numPr>
        <w:jc w:val="both"/>
        <w:rPr>
          <w:rFonts w:cs="Arial"/>
          <w:color w:val="000000" w:themeColor="text1"/>
        </w:rPr>
      </w:pPr>
      <w:r w:rsidRPr="00F62062">
        <w:rPr>
          <w:rFonts w:cs="Arial"/>
          <w:color w:val="000000" w:themeColor="text1"/>
        </w:rPr>
        <w:t xml:space="preserve">Identificar las buenas prácticas y lecciones aprendidas en materia de gestión de cobertura en los contextos rurales y rurales dispersos. </w:t>
      </w:r>
    </w:p>
    <w:p w:rsidR="00CB6D30" w:rsidRPr="00F62062" w:rsidRDefault="00CB6D30" w:rsidP="00F62062">
      <w:pPr>
        <w:jc w:val="both"/>
        <w:rPr>
          <w:rFonts w:cs="Arial"/>
          <w:color w:val="000000" w:themeColor="text1"/>
        </w:rPr>
      </w:pPr>
    </w:p>
    <w:p w:rsidR="00CB6D30" w:rsidRPr="00F62062" w:rsidRDefault="00CB6D30" w:rsidP="00F62062">
      <w:pPr>
        <w:pStyle w:val="Prrafodelista"/>
        <w:numPr>
          <w:ilvl w:val="0"/>
          <w:numId w:val="11"/>
        </w:numPr>
        <w:jc w:val="both"/>
        <w:rPr>
          <w:rFonts w:cs="Arial"/>
          <w:color w:val="000000" w:themeColor="text1"/>
        </w:rPr>
      </w:pPr>
      <w:r w:rsidRPr="00F62062">
        <w:rPr>
          <w:rFonts w:cs="Arial"/>
          <w:color w:val="000000" w:themeColor="text1"/>
        </w:rPr>
        <w:t xml:space="preserve">Analizar, proyectar y recomendar acciones que deban adoptarse para el logro de objetivos y metas de la dependencia, de acuerdo con sus pautas y lineamientos. </w:t>
      </w:r>
    </w:p>
    <w:p w:rsidR="00CB6D30" w:rsidRPr="00F62062" w:rsidRDefault="00CB6D30" w:rsidP="00F62062">
      <w:pPr>
        <w:jc w:val="both"/>
        <w:rPr>
          <w:rFonts w:cs="Arial"/>
          <w:color w:val="000000" w:themeColor="text1"/>
        </w:rPr>
      </w:pPr>
    </w:p>
    <w:p w:rsidR="00CB6D30" w:rsidRDefault="00CB6D30" w:rsidP="00F62062">
      <w:pPr>
        <w:pStyle w:val="Prrafodelista"/>
        <w:numPr>
          <w:ilvl w:val="0"/>
          <w:numId w:val="11"/>
        </w:numPr>
        <w:jc w:val="both"/>
        <w:rPr>
          <w:rFonts w:cs="Arial"/>
          <w:color w:val="000000" w:themeColor="text1"/>
        </w:rPr>
      </w:pPr>
      <w:r w:rsidRPr="00F62062">
        <w:rPr>
          <w:rFonts w:cs="Arial"/>
          <w:color w:val="000000" w:themeColor="text1"/>
        </w:rPr>
        <w:t xml:space="preserve">Las demás que le sean asignadas por el superior inmediato de acuerdo con las necesidades del Ministerio y con la naturaleza del Grupo. </w:t>
      </w:r>
    </w:p>
    <w:p w:rsidR="0064426E" w:rsidRPr="0064426E" w:rsidRDefault="0064426E" w:rsidP="0064426E">
      <w:pPr>
        <w:jc w:val="both"/>
        <w:rPr>
          <w:rFonts w:cs="Arial"/>
          <w:color w:val="000000" w:themeColor="text1"/>
        </w:rPr>
      </w:pPr>
    </w:p>
    <w:p w:rsidR="00CB6D30" w:rsidRPr="002B139A" w:rsidRDefault="00CB6D30" w:rsidP="00F62062">
      <w:pPr>
        <w:tabs>
          <w:tab w:val="center" w:pos="4252"/>
          <w:tab w:val="right" w:pos="8504"/>
        </w:tabs>
        <w:ind w:right="50"/>
        <w:jc w:val="both"/>
        <w:rPr>
          <w:rFonts w:cs="Arial"/>
          <w:bCs/>
          <w:color w:val="000000" w:themeColor="text1"/>
          <w:lang w:val="es-CO"/>
        </w:rPr>
      </w:pPr>
      <w:r w:rsidRPr="00F62062">
        <w:rPr>
          <w:rFonts w:cs="Arial"/>
          <w:bCs/>
          <w:color w:val="000000" w:themeColor="text1"/>
          <w:lang w:val="es-CO"/>
        </w:rPr>
        <w:t>El grupo quedará conformado de la siguiente manera:</w:t>
      </w:r>
    </w:p>
    <w:p w:rsidR="002B139A" w:rsidRPr="00F62062" w:rsidRDefault="002B139A" w:rsidP="00F62062">
      <w:pPr>
        <w:tabs>
          <w:tab w:val="center" w:pos="4252"/>
          <w:tab w:val="right" w:pos="8504"/>
        </w:tabs>
        <w:ind w:right="50"/>
        <w:jc w:val="both"/>
        <w:rPr>
          <w:rFonts w:eastAsia="Calibri" w:cs="Arial"/>
          <w:color w:val="000000" w:themeColor="text1"/>
          <w:lang w:val="es-CO"/>
        </w:rPr>
      </w:pPr>
    </w:p>
    <w:tbl>
      <w:tblPr>
        <w:tblStyle w:val="Tablaconcuadrcula"/>
        <w:tblW w:w="0" w:type="auto"/>
        <w:jc w:val="center"/>
        <w:tblLook w:val="04A0" w:firstRow="1" w:lastRow="0" w:firstColumn="1" w:lastColumn="0" w:noHBand="0" w:noVBand="1"/>
      </w:tblPr>
      <w:tblGrid>
        <w:gridCol w:w="1734"/>
        <w:gridCol w:w="1920"/>
        <w:gridCol w:w="1093"/>
        <w:gridCol w:w="973"/>
      </w:tblGrid>
      <w:tr w:rsidR="00CB6D30" w:rsidRPr="00F62062" w:rsidTr="00C51910">
        <w:trPr>
          <w:jc w:val="center"/>
        </w:trPr>
        <w:tc>
          <w:tcPr>
            <w:tcW w:w="1734"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Posición Manual de Funciones</w:t>
            </w:r>
          </w:p>
        </w:tc>
        <w:tc>
          <w:tcPr>
            <w:tcW w:w="1920"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Denominación</w:t>
            </w:r>
          </w:p>
        </w:tc>
        <w:tc>
          <w:tcPr>
            <w:tcW w:w="1093"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Código</w:t>
            </w:r>
          </w:p>
        </w:tc>
        <w:tc>
          <w:tcPr>
            <w:tcW w:w="968"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Grado</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518</w:t>
            </w:r>
          </w:p>
        </w:tc>
        <w:tc>
          <w:tcPr>
            <w:tcW w:w="1920"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18</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1106</w:t>
            </w:r>
          </w:p>
        </w:tc>
        <w:tc>
          <w:tcPr>
            <w:tcW w:w="1920"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16</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586</w:t>
            </w:r>
          </w:p>
        </w:tc>
        <w:tc>
          <w:tcPr>
            <w:tcW w:w="1920"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14</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690</w:t>
            </w:r>
          </w:p>
        </w:tc>
        <w:tc>
          <w:tcPr>
            <w:tcW w:w="1920"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Técnico Administrativo</w:t>
            </w:r>
          </w:p>
        </w:tc>
        <w:tc>
          <w:tcPr>
            <w:tcW w:w="1093"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3124</w:t>
            </w:r>
          </w:p>
        </w:tc>
        <w:tc>
          <w:tcPr>
            <w:tcW w:w="968" w:type="dxa"/>
            <w:vAlign w:val="center"/>
          </w:tcPr>
          <w:p w:rsidR="00CB6D30" w:rsidRPr="00F62062" w:rsidRDefault="00CB6D30" w:rsidP="00F62062">
            <w:pPr>
              <w:tabs>
                <w:tab w:val="center" w:pos="4252"/>
                <w:tab w:val="right" w:pos="8504"/>
              </w:tabs>
              <w:ind w:right="50"/>
              <w:jc w:val="center"/>
              <w:rPr>
                <w:rFonts w:eastAsia="Calibri" w:cs="Arial"/>
              </w:rPr>
            </w:pPr>
            <w:r w:rsidRPr="00F62062">
              <w:rPr>
                <w:rFonts w:eastAsia="Calibri" w:cs="Arial"/>
              </w:rPr>
              <w:t>13</w:t>
            </w:r>
          </w:p>
        </w:tc>
      </w:tr>
    </w:tbl>
    <w:p w:rsidR="00CB6D30" w:rsidRPr="00F62062" w:rsidRDefault="00CB6D30" w:rsidP="00F62062">
      <w:pPr>
        <w:autoSpaceDE w:val="0"/>
        <w:autoSpaceDN w:val="0"/>
        <w:adjustRightInd w:val="0"/>
        <w:ind w:right="50"/>
        <w:jc w:val="both"/>
        <w:rPr>
          <w:rFonts w:cs="Arial"/>
          <w:b/>
        </w:rPr>
      </w:pPr>
    </w:p>
    <w:p w:rsidR="00CB6D30" w:rsidRPr="00F62062" w:rsidRDefault="00CB6D30" w:rsidP="00F62062">
      <w:pPr>
        <w:autoSpaceDE w:val="0"/>
        <w:autoSpaceDN w:val="0"/>
        <w:adjustRightInd w:val="0"/>
        <w:ind w:right="50"/>
        <w:jc w:val="both"/>
        <w:rPr>
          <w:rFonts w:cs="Arial"/>
          <w:b/>
        </w:rPr>
      </w:pPr>
    </w:p>
    <w:p w:rsidR="00CB6D30" w:rsidRPr="00F62062" w:rsidRDefault="00CB6D30" w:rsidP="00F62062">
      <w:pPr>
        <w:pStyle w:val="Encabezado"/>
        <w:ind w:right="50"/>
        <w:rPr>
          <w:rFonts w:cs="Arial"/>
          <w:sz w:val="24"/>
          <w:szCs w:val="24"/>
          <w:lang w:val="es-ES"/>
        </w:rPr>
      </w:pPr>
      <w:r w:rsidRPr="00F62062">
        <w:rPr>
          <w:rFonts w:cs="Arial"/>
          <w:b/>
          <w:sz w:val="24"/>
          <w:szCs w:val="24"/>
        </w:rPr>
        <w:t xml:space="preserve">ARTÍCULO 2°. Modifíquese los grupos internos de trabajo en la Subdirección de Permanencia. </w:t>
      </w:r>
      <w:r w:rsidRPr="00F62062">
        <w:rPr>
          <w:rFonts w:cs="Arial"/>
          <w:sz w:val="24"/>
          <w:szCs w:val="24"/>
        </w:rPr>
        <w:t xml:space="preserve">Se modifican los grupos internos de trabajo en la Subdirección de </w:t>
      </w:r>
      <w:r w:rsidRPr="0064426E">
        <w:rPr>
          <w:rFonts w:cs="Arial"/>
          <w:sz w:val="24"/>
          <w:szCs w:val="24"/>
        </w:rPr>
        <w:t>Permanencia, los cuales actualmente se denominan Grupo de Programas Generales y Grupo de Poblaciones en Condiciones de Vulnerabilidad, en adelante se definirán así:</w:t>
      </w:r>
    </w:p>
    <w:p w:rsidR="00CB6D30" w:rsidRPr="00F62062" w:rsidRDefault="00CB6D30" w:rsidP="00F62062">
      <w:pPr>
        <w:pStyle w:val="Encabezado"/>
        <w:ind w:right="50"/>
        <w:rPr>
          <w:rFonts w:cs="Arial"/>
          <w:sz w:val="24"/>
          <w:szCs w:val="24"/>
          <w:lang w:val="es-ES"/>
        </w:rPr>
      </w:pPr>
    </w:p>
    <w:p w:rsidR="00CB6D30" w:rsidRPr="00F62062" w:rsidRDefault="00CB6D30" w:rsidP="00F62062">
      <w:pPr>
        <w:tabs>
          <w:tab w:val="center" w:pos="4252"/>
          <w:tab w:val="right" w:pos="8504"/>
        </w:tabs>
        <w:ind w:right="50"/>
        <w:jc w:val="both"/>
        <w:rPr>
          <w:rFonts w:cs="Arial"/>
          <w:b/>
          <w:bCs/>
          <w:lang w:val="es-CO"/>
        </w:rPr>
      </w:pPr>
      <w:r w:rsidRPr="00F62062">
        <w:rPr>
          <w:rFonts w:cs="Arial"/>
          <w:b/>
          <w:bCs/>
          <w:lang w:val="es-CO"/>
        </w:rPr>
        <w:t>1. PROGRAMAS GENERALES</w:t>
      </w:r>
    </w:p>
    <w:p w:rsidR="00CB6D30" w:rsidRPr="00F62062" w:rsidRDefault="00CB6D30" w:rsidP="00F62062">
      <w:pPr>
        <w:tabs>
          <w:tab w:val="center" w:pos="4252"/>
          <w:tab w:val="right" w:pos="8504"/>
        </w:tabs>
        <w:ind w:right="50"/>
        <w:jc w:val="both"/>
        <w:rPr>
          <w:rFonts w:cs="Arial"/>
          <w:b/>
          <w:bCs/>
          <w:lang w:val="es-CO"/>
        </w:rPr>
      </w:pPr>
    </w:p>
    <w:p w:rsidR="00CB6D30" w:rsidRPr="00F62062" w:rsidRDefault="00CB6D30" w:rsidP="00F62062">
      <w:pPr>
        <w:tabs>
          <w:tab w:val="center" w:pos="4252"/>
          <w:tab w:val="right" w:pos="8504"/>
        </w:tabs>
        <w:ind w:right="50"/>
        <w:jc w:val="both"/>
        <w:rPr>
          <w:rFonts w:cs="Arial"/>
          <w:bCs/>
          <w:lang w:val="es-CO"/>
        </w:rPr>
      </w:pPr>
      <w:r w:rsidRPr="00F62062">
        <w:rPr>
          <w:rFonts w:cs="Arial"/>
          <w:b/>
          <w:bCs/>
          <w:lang w:val="es-CO"/>
        </w:rPr>
        <w:t xml:space="preserve">Finalidad: </w:t>
      </w:r>
      <w:r w:rsidRPr="00F62062">
        <w:rPr>
          <w:rFonts w:cs="Arial"/>
        </w:rPr>
        <w:t xml:space="preserve">Identificar las necesidades específicas en materia de permanencia en el sistema educativo, a partir del análisis de la información sobre la población desertora o en riego de desertar y </w:t>
      </w:r>
      <w:r w:rsidRPr="00F62062">
        <w:rPr>
          <w:rFonts w:cs="Arial"/>
          <w:color w:val="000000" w:themeColor="text1"/>
        </w:rPr>
        <w:t xml:space="preserve">orientar a las Secretarias de Educación </w:t>
      </w:r>
      <w:r w:rsidRPr="00F62062">
        <w:rPr>
          <w:rFonts w:cs="Arial"/>
        </w:rPr>
        <w:t>para la definición de planes, programas y proyectos que permitan mantener e incrementar la cobertura educativa.</w:t>
      </w:r>
    </w:p>
    <w:p w:rsidR="00CB6D30" w:rsidRPr="00F62062" w:rsidRDefault="00CB6D30" w:rsidP="00F62062">
      <w:pPr>
        <w:tabs>
          <w:tab w:val="center" w:pos="4252"/>
          <w:tab w:val="right" w:pos="8504"/>
        </w:tabs>
        <w:ind w:right="50"/>
        <w:jc w:val="both"/>
        <w:rPr>
          <w:rFonts w:cs="Arial"/>
          <w:bCs/>
          <w:lang w:val="es-CO"/>
        </w:rPr>
      </w:pPr>
    </w:p>
    <w:p w:rsidR="00CB6D30" w:rsidRPr="00F62062" w:rsidRDefault="00CB6D30" w:rsidP="00F62062">
      <w:pPr>
        <w:tabs>
          <w:tab w:val="center" w:pos="4252"/>
          <w:tab w:val="right" w:pos="8504"/>
        </w:tabs>
        <w:ind w:right="50"/>
        <w:jc w:val="both"/>
        <w:rPr>
          <w:rFonts w:cs="Arial"/>
          <w:bCs/>
          <w:lang w:val="es-CO"/>
        </w:rPr>
      </w:pPr>
      <w:r w:rsidRPr="00F62062">
        <w:rPr>
          <w:rFonts w:cs="Arial"/>
          <w:bCs/>
          <w:lang w:val="es-CO"/>
        </w:rPr>
        <w:t>Serán funciones del grupo las siguientes:</w:t>
      </w:r>
    </w:p>
    <w:p w:rsidR="00CB6D30" w:rsidRPr="00F62062" w:rsidRDefault="00CB6D30" w:rsidP="00F62062">
      <w:pPr>
        <w:tabs>
          <w:tab w:val="center" w:pos="4252"/>
          <w:tab w:val="right" w:pos="8504"/>
        </w:tabs>
        <w:ind w:right="50"/>
        <w:jc w:val="both"/>
        <w:rPr>
          <w:rFonts w:cs="Arial"/>
          <w:bCs/>
          <w:lang w:val="es-CO"/>
        </w:rPr>
      </w:pPr>
    </w:p>
    <w:p w:rsidR="00CB6D30" w:rsidRPr="00F62062" w:rsidRDefault="00CB6D30" w:rsidP="00F62062">
      <w:pPr>
        <w:jc w:val="both"/>
        <w:rPr>
          <w:rFonts w:cs="Arial"/>
          <w:color w:val="000000" w:themeColor="text1"/>
        </w:rPr>
      </w:pPr>
      <w:r w:rsidRPr="00F62062">
        <w:rPr>
          <w:rFonts w:cs="Arial"/>
          <w:color w:val="000000" w:themeColor="text1"/>
        </w:rPr>
        <w:t>a. Identificar necesidades específicas en permanencia educativa, especialmente en los programas relacionados con apoyos económicos y complementarios a la canasta educativa básica y programas para garantizar la continuidad de la oferta educativa desde preescolar hasta la media.</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b. Generar propuestas para la definición de criterios y lineamientos de las estrategias que fomentan la permanencia de los estudiantes en el sistema educativo, especialmente en los programas relacionados con apoyos económicos y complementarios a la canasta educativa básica.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c. Analizar, proyectar y recomendar acciones que deban adoptarse para el logro de objetivos y metas de la dependencia, de acuerdo con sus pautas y lineamientos.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lang w:val="es-MX"/>
        </w:rPr>
      </w:pPr>
      <w:r w:rsidRPr="00F62062">
        <w:rPr>
          <w:rFonts w:cs="Arial"/>
          <w:color w:val="000000" w:themeColor="text1"/>
        </w:rPr>
        <w:t xml:space="preserve">d. </w:t>
      </w:r>
      <w:r w:rsidRPr="00F62062">
        <w:rPr>
          <w:rFonts w:cs="Arial"/>
          <w:color w:val="000000" w:themeColor="text1"/>
          <w:lang w:val="es-MX"/>
        </w:rPr>
        <w:t>Analizar la información estadística de los factores asociados a la permanencia escolar a nivel nacional y territorial.</w:t>
      </w:r>
    </w:p>
    <w:p w:rsidR="00CB6D30" w:rsidRPr="00F62062" w:rsidRDefault="00CB6D30" w:rsidP="00F62062">
      <w:pPr>
        <w:jc w:val="both"/>
        <w:rPr>
          <w:rFonts w:cs="Arial"/>
          <w:color w:val="000000" w:themeColor="text1"/>
          <w:lang w:val="es-MX"/>
        </w:rPr>
      </w:pPr>
    </w:p>
    <w:p w:rsidR="00CB6D30" w:rsidRPr="00F62062" w:rsidRDefault="00CB6D30" w:rsidP="00F62062">
      <w:pPr>
        <w:jc w:val="both"/>
        <w:rPr>
          <w:rFonts w:cs="Arial"/>
          <w:color w:val="000000" w:themeColor="text1"/>
          <w:lang w:val="es-MX"/>
        </w:rPr>
      </w:pPr>
      <w:r w:rsidRPr="00F62062">
        <w:rPr>
          <w:rFonts w:cs="Arial"/>
          <w:color w:val="000000" w:themeColor="text1"/>
          <w:lang w:val="es-MX"/>
        </w:rPr>
        <w:t>e. Identificar y capitalizar el conocimiento adquirido generado en el desarrollo de los distintos programas que faciliten la permanencia de los estudiantes.</w:t>
      </w:r>
    </w:p>
    <w:p w:rsidR="00CB6D30" w:rsidRPr="00F62062" w:rsidRDefault="00CB6D30" w:rsidP="00F62062">
      <w:pPr>
        <w:jc w:val="both"/>
        <w:rPr>
          <w:rFonts w:cs="Arial"/>
          <w:color w:val="000000" w:themeColor="text1"/>
          <w:lang w:val="es-MX"/>
        </w:rPr>
      </w:pPr>
    </w:p>
    <w:p w:rsidR="00736A81" w:rsidRDefault="00CB6D30" w:rsidP="00F62062">
      <w:pPr>
        <w:jc w:val="both"/>
        <w:rPr>
          <w:rFonts w:cs="Arial"/>
          <w:color w:val="000000" w:themeColor="text1"/>
          <w:lang w:val="es-MX"/>
        </w:rPr>
      </w:pPr>
      <w:r w:rsidRPr="00F62062">
        <w:rPr>
          <w:rFonts w:cs="Arial"/>
          <w:color w:val="000000" w:themeColor="text1"/>
          <w:lang w:val="es-MX"/>
        </w:rPr>
        <w:t xml:space="preserve">f. Articular esfuerzos con las entidades territoriales certificadas y demás entidades públicas y privadas para le implementación de los programas que aporten a incrementar </w:t>
      </w:r>
    </w:p>
    <w:p w:rsidR="00736A81" w:rsidRDefault="00736A81" w:rsidP="00F62062">
      <w:pPr>
        <w:jc w:val="both"/>
        <w:rPr>
          <w:rFonts w:cs="Arial"/>
          <w:color w:val="000000" w:themeColor="text1"/>
          <w:lang w:val="es-MX"/>
        </w:rPr>
      </w:pPr>
    </w:p>
    <w:p w:rsidR="00CB6D30" w:rsidRPr="00F62062" w:rsidRDefault="00CB6D30" w:rsidP="00F62062">
      <w:pPr>
        <w:jc w:val="both"/>
        <w:rPr>
          <w:rFonts w:cs="Arial"/>
          <w:color w:val="000000" w:themeColor="text1"/>
          <w:lang w:val="es-MX"/>
        </w:rPr>
      </w:pPr>
      <w:r w:rsidRPr="00F62062">
        <w:rPr>
          <w:rFonts w:cs="Arial"/>
          <w:color w:val="000000" w:themeColor="text1"/>
          <w:lang w:val="es-MX"/>
        </w:rPr>
        <w:t>la permanencia de los estudiantes en el sistema educativo.</w:t>
      </w:r>
    </w:p>
    <w:p w:rsidR="00CB6D30" w:rsidRPr="00736A81" w:rsidRDefault="00CB6D30" w:rsidP="00F62062">
      <w:pPr>
        <w:jc w:val="both"/>
        <w:rPr>
          <w:rFonts w:cs="Arial"/>
          <w:color w:val="000000" w:themeColor="text1"/>
          <w:lang w:val="es-MX"/>
        </w:rPr>
      </w:pPr>
    </w:p>
    <w:p w:rsidR="00CB6D30" w:rsidRPr="00F62062" w:rsidRDefault="00CB6D30" w:rsidP="00F62062">
      <w:pPr>
        <w:jc w:val="both"/>
        <w:rPr>
          <w:rFonts w:cs="Arial"/>
          <w:color w:val="000000" w:themeColor="text1"/>
        </w:rPr>
      </w:pPr>
      <w:r w:rsidRPr="00F62062">
        <w:rPr>
          <w:rFonts w:cs="Arial"/>
          <w:color w:val="000000" w:themeColor="text1"/>
        </w:rPr>
        <w:t xml:space="preserve">g. Analizar información relacionada con la población en riesgo de deserción y la caracterización y análisis de la población desertora que sirve como insumo para planear e implementar los programas bajo la responsabilidad de la coordinación.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h. Prestar asistencia técnica en los temas bajo responsabilidad del grupo. </w:t>
      </w:r>
    </w:p>
    <w:p w:rsidR="00CB6D30" w:rsidRPr="00F62062" w:rsidRDefault="00CB6D30" w:rsidP="00F62062">
      <w:pPr>
        <w:jc w:val="both"/>
        <w:rPr>
          <w:rFonts w:cs="Arial"/>
          <w:color w:val="000000" w:themeColor="text1"/>
        </w:rPr>
      </w:pPr>
    </w:p>
    <w:p w:rsidR="00CB6D30" w:rsidRPr="00F62062" w:rsidRDefault="007B1D35" w:rsidP="00F62062">
      <w:pPr>
        <w:jc w:val="both"/>
        <w:rPr>
          <w:rFonts w:cs="Arial"/>
          <w:color w:val="000000" w:themeColor="text1"/>
        </w:rPr>
      </w:pPr>
      <w:r>
        <w:rPr>
          <w:rFonts w:cs="Arial"/>
          <w:color w:val="000000" w:themeColor="text1"/>
        </w:rPr>
        <w:t>i</w:t>
      </w:r>
      <w:r w:rsidR="00CB6D30" w:rsidRPr="00F62062">
        <w:rPr>
          <w:rFonts w:cs="Arial"/>
          <w:color w:val="000000" w:themeColor="text1"/>
        </w:rPr>
        <w:t xml:space="preserve">. Apoyar a las entidades territoriales en la formulación e implementación de estrategias de permanencia. </w:t>
      </w:r>
    </w:p>
    <w:p w:rsidR="00CB6D30" w:rsidRPr="00F62062" w:rsidRDefault="00CB6D30" w:rsidP="00F62062">
      <w:pPr>
        <w:jc w:val="both"/>
        <w:rPr>
          <w:rFonts w:cs="Arial"/>
          <w:color w:val="000000" w:themeColor="text1"/>
        </w:rPr>
      </w:pPr>
    </w:p>
    <w:p w:rsidR="00CB6D30" w:rsidRPr="00F62062" w:rsidRDefault="007B1D35" w:rsidP="00F62062">
      <w:pPr>
        <w:jc w:val="both"/>
        <w:rPr>
          <w:rFonts w:cs="Arial"/>
          <w:color w:val="000000" w:themeColor="text1"/>
        </w:rPr>
      </w:pPr>
      <w:r>
        <w:rPr>
          <w:rFonts w:cs="Arial"/>
          <w:color w:val="000000" w:themeColor="text1"/>
        </w:rPr>
        <w:t>j</w:t>
      </w:r>
      <w:r w:rsidR="00CB6D30" w:rsidRPr="00F62062">
        <w:rPr>
          <w:rFonts w:cs="Arial"/>
          <w:color w:val="000000" w:themeColor="text1"/>
        </w:rPr>
        <w:t xml:space="preserve">. Hacer seguimiento a los proyectos estratégicos para dar cumplimiento a los planes y objetivos de la dependencia. </w:t>
      </w:r>
    </w:p>
    <w:p w:rsidR="00CB6D30" w:rsidRPr="00F62062" w:rsidRDefault="00CB6D30" w:rsidP="00F62062">
      <w:pPr>
        <w:jc w:val="both"/>
        <w:rPr>
          <w:rFonts w:cs="Arial"/>
          <w:color w:val="000000" w:themeColor="text1"/>
        </w:rPr>
      </w:pPr>
    </w:p>
    <w:p w:rsidR="00CB6D30" w:rsidRPr="00F62062" w:rsidRDefault="007B1D35" w:rsidP="00F62062">
      <w:pPr>
        <w:jc w:val="both"/>
        <w:rPr>
          <w:rFonts w:cs="Arial"/>
          <w:color w:val="000000" w:themeColor="text1"/>
        </w:rPr>
      </w:pPr>
      <w:r>
        <w:rPr>
          <w:rFonts w:cs="Arial"/>
          <w:color w:val="000000" w:themeColor="text1"/>
        </w:rPr>
        <w:t>k</w:t>
      </w:r>
      <w:r w:rsidR="00CB6D30" w:rsidRPr="00F62062">
        <w:rPr>
          <w:rFonts w:cs="Arial"/>
          <w:color w:val="000000" w:themeColor="text1"/>
        </w:rPr>
        <w:t xml:space="preserve">. Las demás que le sean asignadas por el superior inmediato de acuerdo con las necesidades del Ministerio y con la naturaleza del Grupo. </w:t>
      </w:r>
    </w:p>
    <w:p w:rsidR="00CB6D30" w:rsidRPr="00F62062" w:rsidRDefault="00CB6D30" w:rsidP="00F62062">
      <w:pPr>
        <w:jc w:val="both"/>
        <w:rPr>
          <w:rFonts w:cs="Arial"/>
          <w:color w:val="000000" w:themeColor="text1"/>
        </w:rPr>
      </w:pPr>
    </w:p>
    <w:p w:rsidR="00CB6D30" w:rsidRPr="00F62062" w:rsidRDefault="00CB6D30" w:rsidP="00F62062">
      <w:pPr>
        <w:tabs>
          <w:tab w:val="center" w:pos="4252"/>
          <w:tab w:val="right" w:pos="8504"/>
        </w:tabs>
        <w:ind w:right="50"/>
        <w:jc w:val="both"/>
        <w:rPr>
          <w:rFonts w:cs="Arial"/>
          <w:bCs/>
          <w:lang w:val="es-CO"/>
        </w:rPr>
      </w:pPr>
      <w:r w:rsidRPr="00F62062">
        <w:rPr>
          <w:rFonts w:cs="Arial"/>
          <w:bCs/>
          <w:lang w:val="es-CO"/>
        </w:rPr>
        <w:t>El grupo quedará conformado de la siguiente manera:</w:t>
      </w:r>
    </w:p>
    <w:p w:rsidR="00CB6D30" w:rsidRPr="00F62062" w:rsidRDefault="00CB6D30" w:rsidP="00F62062">
      <w:pPr>
        <w:tabs>
          <w:tab w:val="center" w:pos="4252"/>
          <w:tab w:val="right" w:pos="8504"/>
        </w:tabs>
        <w:ind w:right="50"/>
        <w:jc w:val="both"/>
        <w:rPr>
          <w:rFonts w:cs="Arial"/>
          <w:bCs/>
          <w:lang w:val="es-CO"/>
        </w:rPr>
      </w:pPr>
    </w:p>
    <w:tbl>
      <w:tblPr>
        <w:tblStyle w:val="Tablaconcuadrcula"/>
        <w:tblW w:w="0" w:type="auto"/>
        <w:jc w:val="center"/>
        <w:tblLook w:val="04A0" w:firstRow="1" w:lastRow="0" w:firstColumn="1" w:lastColumn="0" w:noHBand="0" w:noVBand="1"/>
      </w:tblPr>
      <w:tblGrid>
        <w:gridCol w:w="1734"/>
        <w:gridCol w:w="1920"/>
        <w:gridCol w:w="1093"/>
        <w:gridCol w:w="973"/>
      </w:tblGrid>
      <w:tr w:rsidR="00CB6D30" w:rsidRPr="00F62062" w:rsidTr="00C51910">
        <w:trPr>
          <w:jc w:val="center"/>
        </w:trPr>
        <w:tc>
          <w:tcPr>
            <w:tcW w:w="1734"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Posición Manual de Funciones</w:t>
            </w:r>
          </w:p>
        </w:tc>
        <w:tc>
          <w:tcPr>
            <w:tcW w:w="1920"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Denominación</w:t>
            </w:r>
          </w:p>
        </w:tc>
        <w:tc>
          <w:tcPr>
            <w:tcW w:w="1093"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Código</w:t>
            </w:r>
          </w:p>
        </w:tc>
        <w:tc>
          <w:tcPr>
            <w:tcW w:w="968"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Grado</w:t>
            </w:r>
          </w:p>
        </w:tc>
      </w:tr>
      <w:tr w:rsidR="00CB6D30" w:rsidRPr="00F62062" w:rsidTr="003B3894">
        <w:trPr>
          <w:trHeight w:val="70"/>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1104</w:t>
            </w:r>
          </w:p>
        </w:tc>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16</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1105</w:t>
            </w:r>
          </w:p>
        </w:tc>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16</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1107</w:t>
            </w:r>
          </w:p>
        </w:tc>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16</w:t>
            </w:r>
          </w:p>
        </w:tc>
      </w:tr>
      <w:tr w:rsidR="00CB6D30" w:rsidRPr="00F62062" w:rsidTr="00C51910">
        <w:trPr>
          <w:jc w:val="center"/>
        </w:trPr>
        <w:tc>
          <w:tcPr>
            <w:tcW w:w="1734"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604</w:t>
            </w:r>
          </w:p>
        </w:tc>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09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96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13</w:t>
            </w:r>
          </w:p>
        </w:tc>
      </w:tr>
    </w:tbl>
    <w:p w:rsidR="00CB6D30" w:rsidRPr="00F62062" w:rsidRDefault="00CB6D30" w:rsidP="00F62062">
      <w:pPr>
        <w:tabs>
          <w:tab w:val="center" w:pos="4252"/>
          <w:tab w:val="right" w:pos="8504"/>
        </w:tabs>
        <w:ind w:right="50"/>
        <w:jc w:val="both"/>
        <w:rPr>
          <w:rFonts w:cs="Arial"/>
          <w:bCs/>
          <w:lang w:val="es-CO"/>
        </w:rPr>
      </w:pPr>
    </w:p>
    <w:p w:rsidR="00CB6D30" w:rsidRPr="00F62062" w:rsidRDefault="00CB6D30" w:rsidP="00F62062">
      <w:pPr>
        <w:tabs>
          <w:tab w:val="center" w:pos="4252"/>
          <w:tab w:val="right" w:pos="8504"/>
        </w:tabs>
        <w:ind w:right="50"/>
        <w:jc w:val="both"/>
        <w:rPr>
          <w:rFonts w:cs="Arial"/>
          <w:b/>
          <w:bCs/>
          <w:lang w:val="es-CO"/>
        </w:rPr>
      </w:pPr>
      <w:r w:rsidRPr="00F62062">
        <w:rPr>
          <w:rFonts w:cs="Arial"/>
          <w:b/>
          <w:bCs/>
          <w:lang w:val="es-CO"/>
        </w:rPr>
        <w:t>2. POBLACIONES EN CONDICIONES DE VULNERABILIDAD</w:t>
      </w:r>
    </w:p>
    <w:p w:rsidR="00CB6D30" w:rsidRPr="00F62062" w:rsidRDefault="00CB6D30" w:rsidP="00F62062">
      <w:pPr>
        <w:tabs>
          <w:tab w:val="center" w:pos="4252"/>
          <w:tab w:val="right" w:pos="8504"/>
        </w:tabs>
        <w:ind w:right="50"/>
        <w:jc w:val="both"/>
        <w:rPr>
          <w:rFonts w:cs="Arial"/>
          <w:b/>
          <w:bCs/>
          <w:lang w:val="es-CO"/>
        </w:rPr>
      </w:pPr>
    </w:p>
    <w:p w:rsidR="00CB6D30" w:rsidRPr="00F62062" w:rsidRDefault="00CB6D30" w:rsidP="00F62062">
      <w:pPr>
        <w:tabs>
          <w:tab w:val="center" w:pos="4252"/>
          <w:tab w:val="right" w:pos="8504"/>
        </w:tabs>
        <w:ind w:right="50"/>
        <w:jc w:val="both"/>
        <w:rPr>
          <w:rFonts w:eastAsia="Calibri" w:cs="Arial"/>
        </w:rPr>
      </w:pPr>
      <w:r w:rsidRPr="00F62062">
        <w:rPr>
          <w:rFonts w:cs="Arial"/>
          <w:b/>
          <w:bCs/>
          <w:lang w:val="es-CO"/>
        </w:rPr>
        <w:t xml:space="preserve">Finalidad: </w:t>
      </w:r>
      <w:r w:rsidRPr="00F62062">
        <w:rPr>
          <w:rFonts w:cs="Arial"/>
          <w:bCs/>
          <w:lang w:val="es-CO"/>
        </w:rPr>
        <w:t xml:space="preserve">Analizar las condiciones específicas de las poblaciones en condiciones de </w:t>
      </w:r>
      <w:r w:rsidRPr="00F62062">
        <w:rPr>
          <w:rFonts w:cs="Arial"/>
          <w:bCs/>
          <w:color w:val="000000" w:themeColor="text1"/>
          <w:lang w:val="es-CO"/>
        </w:rPr>
        <w:t>vulnerabilidad y victimas (</w:t>
      </w:r>
      <w:r w:rsidRPr="00F62062">
        <w:rPr>
          <w:rFonts w:cs="Arial"/>
          <w:bCs/>
          <w:lang w:val="es-CO"/>
        </w:rPr>
        <w:t>afectada por la violencia; niños, niñas y adolescentes trabajadores; población de fronteras, entre otras) y generar propuestas para gestión de cobertura en articulación con las entidades territoriales certificadas</w:t>
      </w:r>
      <w:r w:rsidRPr="00F62062">
        <w:rPr>
          <w:rFonts w:eastAsia="Calibri" w:cs="Arial"/>
        </w:rPr>
        <w:t xml:space="preserve">.  </w:t>
      </w:r>
    </w:p>
    <w:p w:rsidR="00CB6D30" w:rsidRPr="00F62062" w:rsidRDefault="00CB6D30" w:rsidP="00F62062">
      <w:pPr>
        <w:tabs>
          <w:tab w:val="center" w:pos="4252"/>
          <w:tab w:val="right" w:pos="8504"/>
        </w:tabs>
        <w:ind w:right="50"/>
        <w:jc w:val="both"/>
        <w:rPr>
          <w:rFonts w:eastAsia="Calibri" w:cs="Arial"/>
        </w:rPr>
      </w:pPr>
    </w:p>
    <w:p w:rsidR="00CB6D30" w:rsidRPr="00F62062" w:rsidRDefault="00CB6D30" w:rsidP="00F62062">
      <w:pPr>
        <w:tabs>
          <w:tab w:val="center" w:pos="4252"/>
          <w:tab w:val="right" w:pos="8504"/>
        </w:tabs>
        <w:ind w:right="50"/>
        <w:jc w:val="both"/>
        <w:rPr>
          <w:rFonts w:cs="Arial"/>
          <w:bCs/>
          <w:color w:val="000000" w:themeColor="text1"/>
          <w:lang w:val="es-CO"/>
        </w:rPr>
      </w:pPr>
      <w:r w:rsidRPr="00F62062">
        <w:rPr>
          <w:rFonts w:cs="Arial"/>
          <w:bCs/>
          <w:color w:val="000000" w:themeColor="text1"/>
          <w:lang w:val="es-CO"/>
        </w:rPr>
        <w:t>Serán funciones del grupo las siguientes:</w:t>
      </w:r>
    </w:p>
    <w:p w:rsidR="00CB6D30" w:rsidRPr="00F62062" w:rsidRDefault="00CB6D30" w:rsidP="00F62062">
      <w:pPr>
        <w:tabs>
          <w:tab w:val="center" w:pos="4252"/>
          <w:tab w:val="right" w:pos="8504"/>
        </w:tabs>
        <w:ind w:right="50"/>
        <w:jc w:val="both"/>
        <w:rPr>
          <w:rFonts w:eastAsia="Calibri" w:cs="Arial"/>
          <w:color w:val="000000" w:themeColor="text1"/>
          <w:lang w:val="es-CO"/>
        </w:rPr>
      </w:pPr>
    </w:p>
    <w:p w:rsidR="00CB6D30" w:rsidRPr="00F62062" w:rsidRDefault="00CB6D30" w:rsidP="00F62062">
      <w:pPr>
        <w:jc w:val="both"/>
        <w:rPr>
          <w:rFonts w:cs="Arial"/>
          <w:color w:val="000000" w:themeColor="text1"/>
        </w:rPr>
      </w:pPr>
      <w:r w:rsidRPr="00F62062">
        <w:rPr>
          <w:rFonts w:cs="Arial"/>
          <w:color w:val="000000" w:themeColor="text1"/>
        </w:rPr>
        <w:t xml:space="preserve">a. Analizar los criterios de sistematización de información para la identificación y caracterización de las personas (niños, niñas, jóvenes y adultos) afectados por la violencia, niños, niñas y adolescentes trabajadores y población de fronteras, que se encuentren estudiando y por fuera del sistema educativo.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b. Apoyar la definición, construcción y difusión de lineamientos y orientaciones que fortalezcan la permanencia de los estudiantes dentro del sistema educativo.</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c. Identificar y capitalizar el conocimiento adquirido generado en la interacción con las poblaciones en condiciones de vulnerabilidad.</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d. Definir estrategias para la atención educativa a población afectada por la violencia, niños, niñas y adolescentes trabajadores que fomenten la permanencia en el sistema educativo.</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e. Construir planes de trabajo con organismos internacionales, entidades de nivel nacional, territorial y local, organizaciones de la política educativa, para lograr mayores impactos en la atención educativa de la población en condiciones de vulnerabilidad, niños, niñas y adolescentes trabajadores</w:t>
      </w:r>
      <w:r w:rsidRPr="00F62062">
        <w:rPr>
          <w:rFonts w:cs="Arial"/>
          <w:strike/>
          <w:color w:val="000000" w:themeColor="text1"/>
        </w:rPr>
        <w:t>.</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f. Prestar asistencia técnica a las entidades territoriales para que fortalezcan su capacidad de respuesta articulando y promoviendo el desarrollo de programas y estrategias para el acceso y la permanencia de estas poblaciones en el sistema educativo de acuerdo a sus condiciones particulares.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g. Consolidar, analizar y evaluar la información sobre los beneficiarios y recursos invertidos en los programas o estrategias implementadas para la atención educativa a las poblaciones en condición del vulnerabilidad, niños, niñas y adolescentes trabajadores.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h. Preparar informes de indicadores, realizar reportes sobre la gestión efectuada y presentar proyectos estratégicos para dar cumplimento a los planes y objetivos de la dependencia. </w:t>
      </w:r>
    </w:p>
    <w:p w:rsidR="00CB6D30" w:rsidRPr="00F62062" w:rsidRDefault="00CB6D30" w:rsidP="00F62062">
      <w:pPr>
        <w:jc w:val="both"/>
        <w:rPr>
          <w:rFonts w:cs="Arial"/>
          <w:color w:val="000000" w:themeColor="text1"/>
        </w:rPr>
      </w:pPr>
    </w:p>
    <w:p w:rsidR="00CB6D30" w:rsidRPr="00F62062" w:rsidRDefault="00CB6D30" w:rsidP="00F62062">
      <w:pPr>
        <w:jc w:val="both"/>
        <w:rPr>
          <w:rFonts w:cs="Arial"/>
          <w:color w:val="000000" w:themeColor="text1"/>
        </w:rPr>
      </w:pPr>
      <w:r w:rsidRPr="00F62062">
        <w:rPr>
          <w:rFonts w:cs="Arial"/>
          <w:color w:val="000000" w:themeColor="text1"/>
        </w:rPr>
        <w:t xml:space="preserve">i. Las demás que le sean asignadas por el superior inmediato de acuerdo con las necesidades del Ministerio y con la naturaleza del Grupo. </w:t>
      </w:r>
    </w:p>
    <w:p w:rsidR="00CB6D30" w:rsidRPr="00F62062" w:rsidRDefault="00CB6D30" w:rsidP="00F62062">
      <w:pPr>
        <w:jc w:val="both"/>
        <w:rPr>
          <w:rFonts w:cs="Arial"/>
          <w:color w:val="000000" w:themeColor="text1"/>
        </w:rPr>
      </w:pPr>
    </w:p>
    <w:p w:rsidR="00CB6D30" w:rsidRPr="00F62062" w:rsidRDefault="00CB6D30" w:rsidP="00F62062">
      <w:pPr>
        <w:tabs>
          <w:tab w:val="center" w:pos="4252"/>
          <w:tab w:val="right" w:pos="8504"/>
        </w:tabs>
        <w:ind w:right="50"/>
        <w:jc w:val="both"/>
        <w:rPr>
          <w:rFonts w:cs="Arial"/>
          <w:bCs/>
          <w:lang w:val="es-CO"/>
        </w:rPr>
      </w:pPr>
      <w:r w:rsidRPr="00F62062">
        <w:rPr>
          <w:rFonts w:cs="Arial"/>
          <w:bCs/>
          <w:lang w:val="es-CO"/>
        </w:rPr>
        <w:t>El grupo quedará conformado de la siguiente manera:</w:t>
      </w:r>
    </w:p>
    <w:p w:rsidR="00CB6D30" w:rsidRPr="00F62062" w:rsidRDefault="00CB6D30" w:rsidP="00F62062">
      <w:pPr>
        <w:tabs>
          <w:tab w:val="center" w:pos="4252"/>
          <w:tab w:val="right" w:pos="8504"/>
        </w:tabs>
        <w:ind w:right="50"/>
        <w:jc w:val="both"/>
        <w:rPr>
          <w:rFonts w:eastAsia="Calibri" w:cs="Arial"/>
        </w:rPr>
      </w:pPr>
    </w:p>
    <w:tbl>
      <w:tblPr>
        <w:tblStyle w:val="Tablaconcuadrcula"/>
        <w:tblW w:w="0" w:type="auto"/>
        <w:jc w:val="center"/>
        <w:tblLook w:val="04A0" w:firstRow="1" w:lastRow="0" w:firstColumn="1" w:lastColumn="0" w:noHBand="0" w:noVBand="1"/>
      </w:tblPr>
      <w:tblGrid>
        <w:gridCol w:w="1920"/>
        <w:gridCol w:w="2148"/>
        <w:gridCol w:w="1223"/>
        <w:gridCol w:w="1088"/>
      </w:tblGrid>
      <w:tr w:rsidR="00CB6D30" w:rsidRPr="00F62062" w:rsidTr="002B139A">
        <w:trPr>
          <w:trHeight w:val="676"/>
          <w:jc w:val="center"/>
        </w:trPr>
        <w:tc>
          <w:tcPr>
            <w:tcW w:w="1920"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Posición Manual de Funciones</w:t>
            </w:r>
          </w:p>
        </w:tc>
        <w:tc>
          <w:tcPr>
            <w:tcW w:w="2148"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Denominación</w:t>
            </w:r>
          </w:p>
        </w:tc>
        <w:tc>
          <w:tcPr>
            <w:tcW w:w="1223"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Código</w:t>
            </w:r>
          </w:p>
        </w:tc>
        <w:tc>
          <w:tcPr>
            <w:tcW w:w="1088" w:type="dxa"/>
            <w:shd w:val="clear" w:color="auto" w:fill="A6A6A6" w:themeFill="background1" w:themeFillShade="A6"/>
            <w:vAlign w:val="center"/>
          </w:tcPr>
          <w:p w:rsidR="00CB6D30" w:rsidRPr="00F62062" w:rsidRDefault="00CB6D30" w:rsidP="00F62062">
            <w:pPr>
              <w:tabs>
                <w:tab w:val="center" w:pos="4252"/>
                <w:tab w:val="right" w:pos="8504"/>
              </w:tabs>
              <w:ind w:right="50"/>
              <w:jc w:val="center"/>
              <w:rPr>
                <w:rFonts w:eastAsia="Calibri" w:cs="Arial"/>
                <w:b/>
              </w:rPr>
            </w:pPr>
            <w:r w:rsidRPr="00F62062">
              <w:rPr>
                <w:rFonts w:eastAsia="Calibri" w:cs="Arial"/>
                <w:b/>
              </w:rPr>
              <w:t>Grado</w:t>
            </w:r>
          </w:p>
        </w:tc>
      </w:tr>
      <w:tr w:rsidR="00CB6D30" w:rsidRPr="00F62062" w:rsidTr="002B139A">
        <w:trPr>
          <w:trHeight w:val="450"/>
          <w:jc w:val="center"/>
        </w:trPr>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1110</w:t>
            </w:r>
          </w:p>
        </w:tc>
        <w:tc>
          <w:tcPr>
            <w:tcW w:w="214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22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108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w:t>
            </w:r>
          </w:p>
        </w:tc>
      </w:tr>
      <w:tr w:rsidR="00CB6D30" w:rsidRPr="00F62062" w:rsidTr="002B139A">
        <w:trPr>
          <w:trHeight w:val="440"/>
          <w:jc w:val="center"/>
        </w:trPr>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512</w:t>
            </w:r>
          </w:p>
        </w:tc>
        <w:tc>
          <w:tcPr>
            <w:tcW w:w="214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22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108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18</w:t>
            </w:r>
          </w:p>
        </w:tc>
      </w:tr>
      <w:tr w:rsidR="00CB6D30" w:rsidRPr="00F62062" w:rsidTr="002B139A">
        <w:trPr>
          <w:trHeight w:val="450"/>
          <w:jc w:val="center"/>
        </w:trPr>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1109</w:t>
            </w:r>
          </w:p>
        </w:tc>
        <w:tc>
          <w:tcPr>
            <w:tcW w:w="214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22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108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w:t>
            </w:r>
          </w:p>
        </w:tc>
      </w:tr>
      <w:tr w:rsidR="00CB6D30" w:rsidRPr="00F62062" w:rsidTr="002B139A">
        <w:trPr>
          <w:trHeight w:val="450"/>
          <w:jc w:val="center"/>
        </w:trPr>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1108</w:t>
            </w:r>
          </w:p>
        </w:tc>
        <w:tc>
          <w:tcPr>
            <w:tcW w:w="214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22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108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16</w:t>
            </w:r>
          </w:p>
        </w:tc>
      </w:tr>
      <w:tr w:rsidR="00CB6D30" w:rsidRPr="00F62062" w:rsidTr="002B139A">
        <w:trPr>
          <w:trHeight w:val="450"/>
          <w:jc w:val="center"/>
        </w:trPr>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834</w:t>
            </w:r>
          </w:p>
        </w:tc>
        <w:tc>
          <w:tcPr>
            <w:tcW w:w="214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Especializado</w:t>
            </w:r>
          </w:p>
        </w:tc>
        <w:tc>
          <w:tcPr>
            <w:tcW w:w="122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2028</w:t>
            </w:r>
          </w:p>
        </w:tc>
        <w:tc>
          <w:tcPr>
            <w:tcW w:w="108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14</w:t>
            </w:r>
          </w:p>
        </w:tc>
      </w:tr>
      <w:tr w:rsidR="00CB6D30" w:rsidRPr="00F62062" w:rsidTr="002B139A">
        <w:trPr>
          <w:trHeight w:val="204"/>
          <w:jc w:val="center"/>
        </w:trPr>
        <w:tc>
          <w:tcPr>
            <w:tcW w:w="1920"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609</w:t>
            </w:r>
          </w:p>
        </w:tc>
        <w:tc>
          <w:tcPr>
            <w:tcW w:w="214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Profesional Universitario</w:t>
            </w:r>
          </w:p>
        </w:tc>
        <w:tc>
          <w:tcPr>
            <w:tcW w:w="1223"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2044</w:t>
            </w:r>
          </w:p>
        </w:tc>
        <w:tc>
          <w:tcPr>
            <w:tcW w:w="1088" w:type="dxa"/>
            <w:vAlign w:val="center"/>
          </w:tcPr>
          <w:p w:rsidR="00CB6D30" w:rsidRPr="00F62062" w:rsidRDefault="00CB6D30" w:rsidP="00F62062">
            <w:pPr>
              <w:tabs>
                <w:tab w:val="center" w:pos="4252"/>
                <w:tab w:val="right" w:pos="8504"/>
              </w:tabs>
              <w:ind w:right="50"/>
              <w:jc w:val="center"/>
              <w:rPr>
                <w:rFonts w:eastAsia="Calibri" w:cs="Arial"/>
                <w:color w:val="000000" w:themeColor="text1"/>
              </w:rPr>
            </w:pPr>
            <w:r w:rsidRPr="00F62062">
              <w:rPr>
                <w:rFonts w:eastAsia="Calibri" w:cs="Arial"/>
                <w:color w:val="000000" w:themeColor="text1"/>
              </w:rPr>
              <w:t>11</w:t>
            </w:r>
          </w:p>
        </w:tc>
      </w:tr>
    </w:tbl>
    <w:p w:rsidR="00F62062" w:rsidRDefault="00F62062" w:rsidP="00F62062">
      <w:pPr>
        <w:autoSpaceDE w:val="0"/>
        <w:autoSpaceDN w:val="0"/>
        <w:adjustRightInd w:val="0"/>
        <w:ind w:right="50"/>
        <w:jc w:val="both"/>
        <w:rPr>
          <w:rFonts w:cs="Arial"/>
          <w:b/>
        </w:rPr>
      </w:pPr>
    </w:p>
    <w:p w:rsidR="00CB6D30" w:rsidRPr="00F62062" w:rsidRDefault="00CB6D30" w:rsidP="00F62062">
      <w:pPr>
        <w:autoSpaceDE w:val="0"/>
        <w:autoSpaceDN w:val="0"/>
        <w:adjustRightInd w:val="0"/>
        <w:ind w:right="50"/>
        <w:jc w:val="both"/>
        <w:rPr>
          <w:rFonts w:cs="Arial"/>
        </w:rPr>
      </w:pPr>
      <w:r w:rsidRPr="00F62062">
        <w:rPr>
          <w:rFonts w:cs="Arial"/>
          <w:b/>
        </w:rPr>
        <w:t>ARTICULO 3°.</w:t>
      </w:r>
      <w:r w:rsidR="00F62062">
        <w:rPr>
          <w:rFonts w:cs="Arial"/>
          <w:b/>
        </w:rPr>
        <w:t xml:space="preserve"> </w:t>
      </w:r>
      <w:r w:rsidRPr="00F62062">
        <w:rPr>
          <w:rFonts w:cs="Arial"/>
          <w:b/>
        </w:rPr>
        <w:t xml:space="preserve">Funciones de los coordinadores de grupo. </w:t>
      </w:r>
      <w:r w:rsidRPr="00F62062">
        <w:rPr>
          <w:rFonts w:cs="Arial"/>
        </w:rPr>
        <w:t>Los grupos internos señalados en los artículos1 y 2, estarán a cargo de un coordinador de grupo, que cumpla con la competencia para ejercer dicha función y que, además de las funciones establecidas en el manual de funciones y requisitos mínimos de la Entidad para el</w:t>
      </w:r>
      <w:r w:rsidR="002B139A">
        <w:rPr>
          <w:rFonts w:cs="Arial"/>
        </w:rPr>
        <w:t xml:space="preserve"> </w:t>
      </w:r>
      <w:r w:rsidRPr="00F62062">
        <w:rPr>
          <w:rFonts w:cs="Arial"/>
        </w:rPr>
        <w:t>respectivo cargo, tendrá las siguientes funciones generales:</w:t>
      </w:r>
    </w:p>
    <w:p w:rsidR="00CB6D30" w:rsidRPr="00F62062" w:rsidRDefault="00CB6D30" w:rsidP="00F62062">
      <w:pPr>
        <w:autoSpaceDE w:val="0"/>
        <w:autoSpaceDN w:val="0"/>
        <w:adjustRightInd w:val="0"/>
        <w:ind w:right="50"/>
        <w:jc w:val="both"/>
        <w:rPr>
          <w:rFonts w:cs="Arial"/>
        </w:rPr>
      </w:pP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 xml:space="preserve">Definir, asignar y verificar el cumplimiento de las funciones o tareas asignadas a los servidores a su cargo y hacer parte de la comisión evaluadora para la respectiva evaluación de desempeño de los servidores que conforman el grupo interno de trabajo, en caso de ser un servidor con derechos de carrera o con nombramiento provisional. </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Identificar y escalar al jefe inmediato las necesidades de capacitación, y reentrenamiento del personal a cargo.</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Consolidar, analizar y hacer seguimiento a los indicadores generados por los procesos del área de su competencia.</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Ejercer la supervisión, el seguimiento y monitoreo a la ejecución de los contratos que le sean asignados.</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Revisar y verificar toda la documentación de los procesos a su cargo, sirviendo como punto de control de calidad para mitigar la probabilidad de ocurrencia de riesgos y errores en los procesos del grupo a cargo.</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 xml:space="preserve">Atender las solicitudes de información que realicen personas naturales, dependencias del Ministerio o entes externos relacionados con los procesos a cargo del grupo que lidera. </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 xml:space="preserve">Elaborar los informes que se requieran para ejercer el seguimiento y control a la ejecución del plan anual de adquisiciones del grupo. </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Coordinar el personal del grupo, procurando un ambiente laboral sano y estimulante y un ejercicio compartido y responsable de las funciones del grupo de trabajo.</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Velar por el cumplimiento y seguimiento del plan de acción y operativo a desarrollar por el personal del grupo.</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Revisar y firmar correspondencia interna que genere las actividades del grupo excluyendo los conceptos técnicos.</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Presentar los informes propios de su gestión y los que le sean requeridos para apoyar en la toma de decisiones al superior inmediato.</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Ejecutar acciones tendientes a racionalizar los recursos disponibles en el grupo.</w:t>
      </w:r>
    </w:p>
    <w:p w:rsidR="00CB6D30" w:rsidRPr="00F62062" w:rsidRDefault="00CB6D30" w:rsidP="00F62062">
      <w:pPr>
        <w:numPr>
          <w:ilvl w:val="0"/>
          <w:numId w:val="10"/>
        </w:numPr>
        <w:autoSpaceDE w:val="0"/>
        <w:autoSpaceDN w:val="0"/>
        <w:adjustRightInd w:val="0"/>
        <w:ind w:right="50"/>
        <w:jc w:val="both"/>
        <w:rPr>
          <w:rFonts w:cs="Arial"/>
        </w:rPr>
      </w:pPr>
      <w:r w:rsidRPr="00F62062">
        <w:rPr>
          <w:rFonts w:cs="Arial"/>
        </w:rPr>
        <w:t>Ser ejecutor y líder en la aplicación de estrategias y mecanismos de desarrollo institucional, control interno y mejoramiento continuo de la gestión.</w:t>
      </w:r>
    </w:p>
    <w:p w:rsidR="00CB6D30" w:rsidRPr="00F62062" w:rsidRDefault="00CB6D30" w:rsidP="00F62062">
      <w:pPr>
        <w:autoSpaceDE w:val="0"/>
        <w:autoSpaceDN w:val="0"/>
        <w:adjustRightInd w:val="0"/>
        <w:ind w:right="50"/>
        <w:jc w:val="both"/>
        <w:rPr>
          <w:rFonts w:cs="Arial"/>
        </w:rPr>
      </w:pPr>
    </w:p>
    <w:p w:rsidR="00CB6D30" w:rsidRPr="00F62062" w:rsidRDefault="00CB6D30" w:rsidP="00F62062">
      <w:pPr>
        <w:autoSpaceDE w:val="0"/>
        <w:autoSpaceDN w:val="0"/>
        <w:adjustRightInd w:val="0"/>
        <w:ind w:right="50"/>
        <w:jc w:val="both"/>
        <w:rPr>
          <w:rFonts w:cs="Arial"/>
        </w:rPr>
      </w:pPr>
      <w:r w:rsidRPr="00F62062">
        <w:rPr>
          <w:rFonts w:cs="Arial"/>
          <w:b/>
        </w:rPr>
        <w:t>ARTICULO 3. Vigencia y derogatoria.</w:t>
      </w:r>
      <w:r w:rsidRPr="00F62062">
        <w:rPr>
          <w:rFonts w:cs="Arial"/>
        </w:rPr>
        <w:t xml:space="preserve"> La presente resolución rige a partir de la fecha de su expedición y modifica la Resolución 1710 de 2010.</w:t>
      </w:r>
    </w:p>
    <w:p w:rsidR="00CB6D30" w:rsidRDefault="00CB6D30" w:rsidP="00F62062">
      <w:pPr>
        <w:autoSpaceDE w:val="0"/>
        <w:autoSpaceDN w:val="0"/>
        <w:adjustRightInd w:val="0"/>
        <w:ind w:right="-517"/>
        <w:jc w:val="both"/>
        <w:rPr>
          <w:rFonts w:cs="Arial"/>
        </w:rPr>
      </w:pPr>
    </w:p>
    <w:p w:rsidR="0064426E" w:rsidRDefault="0064426E" w:rsidP="00F62062">
      <w:pPr>
        <w:autoSpaceDE w:val="0"/>
        <w:autoSpaceDN w:val="0"/>
        <w:adjustRightInd w:val="0"/>
        <w:ind w:right="-517"/>
        <w:jc w:val="both"/>
        <w:rPr>
          <w:rFonts w:cs="Arial"/>
        </w:rPr>
      </w:pPr>
    </w:p>
    <w:p w:rsidR="002B139A" w:rsidRPr="00F62062" w:rsidRDefault="002B139A" w:rsidP="00F62062">
      <w:pPr>
        <w:autoSpaceDE w:val="0"/>
        <w:autoSpaceDN w:val="0"/>
        <w:adjustRightInd w:val="0"/>
        <w:ind w:right="-517"/>
        <w:jc w:val="both"/>
        <w:rPr>
          <w:rFonts w:cs="Arial"/>
        </w:rPr>
      </w:pPr>
    </w:p>
    <w:p w:rsidR="00CB6D30" w:rsidRPr="00F62062" w:rsidRDefault="00CB6D30" w:rsidP="00F62062">
      <w:pPr>
        <w:autoSpaceDE w:val="0"/>
        <w:autoSpaceDN w:val="0"/>
        <w:adjustRightInd w:val="0"/>
        <w:ind w:right="-517"/>
        <w:jc w:val="center"/>
        <w:outlineLvl w:val="0"/>
        <w:rPr>
          <w:rFonts w:cs="Arial"/>
          <w:b/>
        </w:rPr>
      </w:pPr>
      <w:r w:rsidRPr="00F62062">
        <w:rPr>
          <w:rFonts w:cs="Arial"/>
          <w:b/>
        </w:rPr>
        <w:t>COMUNÍQUESE Y CÚMPLASE</w:t>
      </w:r>
    </w:p>
    <w:p w:rsidR="00CB6D30" w:rsidRPr="00F62062" w:rsidRDefault="00CB6D30" w:rsidP="00F62062">
      <w:pPr>
        <w:autoSpaceDE w:val="0"/>
        <w:autoSpaceDN w:val="0"/>
        <w:adjustRightInd w:val="0"/>
        <w:ind w:right="-517"/>
        <w:jc w:val="both"/>
        <w:rPr>
          <w:rFonts w:cs="Arial"/>
        </w:rPr>
      </w:pPr>
    </w:p>
    <w:p w:rsidR="00CB6D30" w:rsidRPr="00F62062" w:rsidRDefault="00CB6D30" w:rsidP="00F62062">
      <w:pPr>
        <w:autoSpaceDE w:val="0"/>
        <w:autoSpaceDN w:val="0"/>
        <w:adjustRightInd w:val="0"/>
        <w:ind w:right="-517"/>
        <w:jc w:val="both"/>
        <w:outlineLvl w:val="0"/>
        <w:rPr>
          <w:rFonts w:cs="Arial"/>
        </w:rPr>
      </w:pPr>
      <w:r w:rsidRPr="00F62062">
        <w:rPr>
          <w:rFonts w:cs="Arial"/>
        </w:rPr>
        <w:t>Dada en Bogotá D.C., a los</w:t>
      </w:r>
    </w:p>
    <w:p w:rsidR="00CB6D30" w:rsidRPr="00F62062" w:rsidRDefault="00CB6D30" w:rsidP="00F62062">
      <w:pPr>
        <w:autoSpaceDE w:val="0"/>
        <w:autoSpaceDN w:val="0"/>
        <w:adjustRightInd w:val="0"/>
        <w:ind w:right="-517"/>
        <w:jc w:val="both"/>
        <w:rPr>
          <w:rFonts w:cs="Arial"/>
        </w:rPr>
      </w:pPr>
    </w:p>
    <w:p w:rsidR="00CB6D30" w:rsidRPr="00F62062" w:rsidRDefault="00CB6D30" w:rsidP="00F62062">
      <w:pPr>
        <w:autoSpaceDE w:val="0"/>
        <w:autoSpaceDN w:val="0"/>
        <w:adjustRightInd w:val="0"/>
        <w:ind w:right="-517"/>
        <w:jc w:val="both"/>
        <w:outlineLvl w:val="0"/>
        <w:rPr>
          <w:rFonts w:cs="Arial"/>
          <w:b/>
        </w:rPr>
      </w:pPr>
      <w:r w:rsidRPr="00F62062">
        <w:rPr>
          <w:rFonts w:cs="Arial"/>
          <w:b/>
        </w:rPr>
        <w:t>LA MINISTRA DE EDUCACIÓN NACIONAL</w:t>
      </w:r>
    </w:p>
    <w:p w:rsidR="00CB6D30" w:rsidRPr="00F62062" w:rsidRDefault="00CB6D30" w:rsidP="00F62062">
      <w:pPr>
        <w:autoSpaceDE w:val="0"/>
        <w:autoSpaceDN w:val="0"/>
        <w:adjustRightInd w:val="0"/>
        <w:ind w:right="-517"/>
        <w:jc w:val="both"/>
        <w:rPr>
          <w:rFonts w:cs="Arial"/>
        </w:rPr>
      </w:pPr>
    </w:p>
    <w:p w:rsidR="00CB6D30" w:rsidRDefault="00CB6D30" w:rsidP="00F62062">
      <w:pPr>
        <w:autoSpaceDE w:val="0"/>
        <w:autoSpaceDN w:val="0"/>
        <w:adjustRightInd w:val="0"/>
        <w:ind w:right="-517"/>
        <w:jc w:val="both"/>
        <w:rPr>
          <w:rFonts w:cs="Arial"/>
        </w:rPr>
      </w:pPr>
    </w:p>
    <w:p w:rsidR="0064426E" w:rsidRDefault="0064426E" w:rsidP="00F62062">
      <w:pPr>
        <w:autoSpaceDE w:val="0"/>
        <w:autoSpaceDN w:val="0"/>
        <w:adjustRightInd w:val="0"/>
        <w:ind w:right="-517"/>
        <w:jc w:val="both"/>
        <w:rPr>
          <w:rFonts w:cs="Arial"/>
        </w:rPr>
      </w:pPr>
    </w:p>
    <w:p w:rsidR="0064426E" w:rsidRPr="00F62062" w:rsidRDefault="0064426E" w:rsidP="00F62062">
      <w:pPr>
        <w:autoSpaceDE w:val="0"/>
        <w:autoSpaceDN w:val="0"/>
        <w:adjustRightInd w:val="0"/>
        <w:ind w:right="-517"/>
        <w:jc w:val="both"/>
        <w:rPr>
          <w:rFonts w:cs="Arial"/>
        </w:rPr>
      </w:pPr>
    </w:p>
    <w:p w:rsidR="002B139A" w:rsidRDefault="002B139A" w:rsidP="002B139A">
      <w:pPr>
        <w:autoSpaceDE w:val="0"/>
        <w:autoSpaceDN w:val="0"/>
        <w:adjustRightInd w:val="0"/>
        <w:ind w:right="-91"/>
        <w:jc w:val="right"/>
        <w:rPr>
          <w:rFonts w:cs="Arial"/>
          <w:b/>
        </w:rPr>
      </w:pPr>
    </w:p>
    <w:p w:rsidR="00CB6D30" w:rsidRPr="0064426E" w:rsidRDefault="00CB6D30" w:rsidP="0064426E">
      <w:pPr>
        <w:autoSpaceDE w:val="0"/>
        <w:autoSpaceDN w:val="0"/>
        <w:adjustRightInd w:val="0"/>
        <w:ind w:right="-91"/>
        <w:jc w:val="right"/>
        <w:rPr>
          <w:rFonts w:cs="Arial"/>
          <w:b/>
        </w:rPr>
      </w:pPr>
      <w:r w:rsidRPr="00F62062">
        <w:rPr>
          <w:rFonts w:cs="Arial"/>
          <w:b/>
        </w:rPr>
        <w:t>YANETH GIHA TOVAR</w:t>
      </w:r>
    </w:p>
    <w:p w:rsidR="00CB6D30" w:rsidRPr="00F62062" w:rsidRDefault="00CB6D30" w:rsidP="00F62062">
      <w:pPr>
        <w:autoSpaceDE w:val="0"/>
        <w:autoSpaceDN w:val="0"/>
        <w:adjustRightInd w:val="0"/>
        <w:ind w:right="-517"/>
        <w:jc w:val="both"/>
        <w:rPr>
          <w:rFonts w:cs="Arial"/>
          <w:sz w:val="16"/>
          <w:szCs w:val="16"/>
        </w:rPr>
      </w:pPr>
      <w:r w:rsidRPr="00F62062">
        <w:rPr>
          <w:rFonts w:cs="Arial"/>
          <w:sz w:val="16"/>
          <w:szCs w:val="16"/>
        </w:rPr>
        <w:t xml:space="preserve">Aprobó: </w:t>
      </w:r>
      <w:r w:rsidR="00F62062">
        <w:rPr>
          <w:rFonts w:cs="Arial"/>
          <w:sz w:val="16"/>
          <w:szCs w:val="16"/>
        </w:rPr>
        <w:t xml:space="preserve"> </w:t>
      </w:r>
      <w:r w:rsidRPr="00F62062">
        <w:rPr>
          <w:rFonts w:cs="Arial"/>
          <w:sz w:val="16"/>
          <w:szCs w:val="16"/>
        </w:rPr>
        <w:t>Gloria Rocio Pereira Oviedo – Subdirectora de Desarrollo Organizacional</w:t>
      </w:r>
    </w:p>
    <w:p w:rsidR="00CB6D30" w:rsidRPr="00F62062" w:rsidRDefault="00CB6D30" w:rsidP="00F62062">
      <w:pPr>
        <w:autoSpaceDE w:val="0"/>
        <w:autoSpaceDN w:val="0"/>
        <w:adjustRightInd w:val="0"/>
        <w:ind w:right="-517"/>
        <w:jc w:val="both"/>
        <w:rPr>
          <w:rFonts w:cs="Arial"/>
          <w:sz w:val="16"/>
          <w:szCs w:val="16"/>
        </w:rPr>
      </w:pPr>
      <w:r w:rsidRPr="00F62062">
        <w:rPr>
          <w:rFonts w:cs="Arial"/>
          <w:sz w:val="16"/>
          <w:szCs w:val="16"/>
        </w:rPr>
        <w:t xml:space="preserve">              </w:t>
      </w:r>
      <w:r w:rsidR="00F62062">
        <w:rPr>
          <w:rFonts w:cs="Arial"/>
          <w:sz w:val="16"/>
          <w:szCs w:val="16"/>
        </w:rPr>
        <w:t xml:space="preserve"> </w:t>
      </w:r>
      <w:r w:rsidRPr="00F62062">
        <w:rPr>
          <w:rFonts w:cs="Arial"/>
          <w:sz w:val="16"/>
          <w:szCs w:val="16"/>
        </w:rPr>
        <w:t>Martha Lucia Trujillo Calderón – Jefe Oficina Asesora Jurídica</w:t>
      </w:r>
    </w:p>
    <w:p w:rsidR="00CB6D30" w:rsidRPr="00F62062" w:rsidRDefault="00CB6D30" w:rsidP="00F62062">
      <w:pPr>
        <w:autoSpaceDE w:val="0"/>
        <w:autoSpaceDN w:val="0"/>
        <w:adjustRightInd w:val="0"/>
        <w:ind w:right="-517"/>
        <w:jc w:val="both"/>
        <w:rPr>
          <w:rFonts w:cs="Arial"/>
          <w:sz w:val="16"/>
          <w:szCs w:val="16"/>
        </w:rPr>
      </w:pPr>
      <w:r w:rsidRPr="00F62062">
        <w:rPr>
          <w:rFonts w:cs="Arial"/>
          <w:sz w:val="16"/>
          <w:szCs w:val="16"/>
        </w:rPr>
        <w:t xml:space="preserve">Reviso:  </w:t>
      </w:r>
      <w:r w:rsidR="00F62062">
        <w:rPr>
          <w:rFonts w:cs="Arial"/>
          <w:sz w:val="16"/>
          <w:szCs w:val="16"/>
        </w:rPr>
        <w:t xml:space="preserve"> </w:t>
      </w:r>
      <w:r w:rsidRPr="00F62062">
        <w:rPr>
          <w:rFonts w:cs="Arial"/>
          <w:sz w:val="16"/>
          <w:szCs w:val="16"/>
        </w:rPr>
        <w:t>Dayan Eliana González Barrera – Profesional Oficina Asesora Jurídica</w:t>
      </w:r>
    </w:p>
    <w:p w:rsidR="00CB6D30" w:rsidRPr="00F62062" w:rsidRDefault="00CB6D30" w:rsidP="00F62062">
      <w:pPr>
        <w:autoSpaceDE w:val="0"/>
        <w:autoSpaceDN w:val="0"/>
        <w:adjustRightInd w:val="0"/>
        <w:ind w:right="-517"/>
        <w:jc w:val="both"/>
        <w:rPr>
          <w:rFonts w:cs="Arial"/>
          <w:sz w:val="16"/>
          <w:szCs w:val="16"/>
        </w:rPr>
      </w:pPr>
      <w:r w:rsidRPr="00F62062">
        <w:rPr>
          <w:rFonts w:cs="Arial"/>
          <w:sz w:val="16"/>
          <w:szCs w:val="16"/>
        </w:rPr>
        <w:t xml:space="preserve">Elaboró: Jenny Rocío Gómez - Profesional Especializado </w:t>
      </w:r>
    </w:p>
    <w:p w:rsidR="0092649E" w:rsidRPr="002B139A" w:rsidRDefault="00CB6D30" w:rsidP="002B139A">
      <w:pPr>
        <w:autoSpaceDE w:val="0"/>
        <w:autoSpaceDN w:val="0"/>
        <w:adjustRightInd w:val="0"/>
        <w:ind w:right="-517"/>
        <w:jc w:val="both"/>
        <w:rPr>
          <w:rFonts w:cs="Arial"/>
          <w:sz w:val="16"/>
          <w:szCs w:val="16"/>
        </w:rPr>
      </w:pPr>
      <w:r w:rsidRPr="00F62062">
        <w:rPr>
          <w:rFonts w:cs="Arial"/>
          <w:sz w:val="16"/>
          <w:szCs w:val="16"/>
        </w:rPr>
        <w:t xml:space="preserve">               Gerardo Andrés Parada – Profesional Especializado </w:t>
      </w:r>
    </w:p>
    <w:sectPr w:rsidR="0092649E" w:rsidRPr="002B139A" w:rsidSect="00736A81">
      <w:headerReference w:type="even" r:id="rId8"/>
      <w:headerReference w:type="default" r:id="rId9"/>
      <w:footerReference w:type="even" r:id="rId10"/>
      <w:headerReference w:type="first" r:id="rId11"/>
      <w:pgSz w:w="12242" w:h="18722" w:code="14"/>
      <w:pgMar w:top="1701" w:right="1134" w:bottom="1843" w:left="1701" w:header="1020" w:footer="17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DC2" w:rsidRDefault="00516DC2" w:rsidP="0057089F">
      <w:r>
        <w:separator/>
      </w:r>
    </w:p>
  </w:endnote>
  <w:endnote w:type="continuationSeparator" w:id="0">
    <w:p w:rsidR="00516DC2" w:rsidRDefault="00516DC2" w:rsidP="0057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staire">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516DC2">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DC2" w:rsidRDefault="00516DC2" w:rsidP="0057089F">
      <w:r>
        <w:separator/>
      </w:r>
    </w:p>
  </w:footnote>
  <w:footnote w:type="continuationSeparator" w:id="0">
    <w:p w:rsidR="00516DC2" w:rsidRDefault="00516DC2" w:rsidP="0057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12372E">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A107FC" w:rsidRDefault="0012372E">
    <w:pPr>
      <w:pStyle w:val="Encabezado"/>
    </w:pPr>
    <w:r>
      <w:rPr>
        <w:noProof/>
        <w:lang w:val="es-CO" w:eastAsia="es-CO"/>
      </w:rPr>
      <mc:AlternateContent>
        <mc:Choice Requires="wps">
          <w:drawing>
            <wp:anchor distT="0" distB="0" distL="114300" distR="114300" simplePos="0" relativeHeight="251661312" behindDoc="0" locked="0" layoutInCell="0" allowOverlap="1" wp14:anchorId="745CD1BF" wp14:editId="27E78626">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0C822"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A107FC" w:rsidRDefault="00516DC2">
    <w:pPr>
      <w:jc w:val="center"/>
      <w:rPr>
        <w:b/>
      </w:rPr>
    </w:pPr>
  </w:p>
  <w:p w:rsidR="00A107FC" w:rsidRDefault="0012372E">
    <w:pPr>
      <w:jc w:val="center"/>
      <w:rPr>
        <w:sz w:val="22"/>
      </w:rPr>
    </w:pPr>
    <w:r>
      <w:rPr>
        <w:noProof/>
        <w:lang w:val="es-CO" w:eastAsia="es-CO"/>
      </w:rPr>
      <mc:AlternateContent>
        <mc:Choice Requires="wps">
          <w:drawing>
            <wp:anchor distT="4294967295" distB="4294967295" distL="114300" distR="114300" simplePos="0" relativeHeight="251663360" behindDoc="0" locked="0" layoutInCell="0" allowOverlap="1" wp14:anchorId="781219B9" wp14:editId="6971B7B4">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5B1FB" id="Conector recto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A107FC" w:rsidRDefault="00516DC2">
    <w:pPr>
      <w:jc w:val="center"/>
      <w:rPr>
        <w:sz w:val="22"/>
      </w:rPr>
    </w:pPr>
  </w:p>
  <w:p w:rsidR="00A107FC" w:rsidRDefault="00516DC2">
    <w:pPr>
      <w:jc w:val="center"/>
      <w:rPr>
        <w:snapToGrid w:val="0"/>
        <w:color w:val="000000"/>
        <w:sz w:val="18"/>
      </w:rPr>
    </w:pPr>
  </w:p>
  <w:p w:rsidR="00A107FC" w:rsidRDefault="00516DC2">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12372E">
    <w:pPr>
      <w:pStyle w:val="Encabezado"/>
      <w:jc w:val="center"/>
      <w:rPr>
        <w:rStyle w:val="Nmerodepgina"/>
        <w:b/>
      </w:rPr>
    </w:pPr>
    <w:r>
      <w:rPr>
        <w:b/>
        <w:lang w:val="pt-BR"/>
      </w:rPr>
      <w:t xml:space="preserve">RESOLUCIÓN NUMERO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0E20FC">
      <w:rPr>
        <w:rStyle w:val="Nmerodepgina"/>
        <w:b/>
        <w:noProof/>
        <w:lang w:val="pt-BR"/>
      </w:rPr>
      <w:t>6</w:t>
    </w:r>
    <w:r>
      <w:rPr>
        <w:rStyle w:val="Nmerodepgina"/>
        <w:b/>
      </w:rPr>
      <w:fldChar w:fldCharType="end"/>
    </w:r>
  </w:p>
  <w:p w:rsidR="00A107FC" w:rsidRDefault="0064426E">
    <w:pPr>
      <w:pStyle w:val="Encabezado"/>
      <w:jc w:val="center"/>
      <w:rPr>
        <w:b/>
      </w:rPr>
    </w:pPr>
    <w:r>
      <w:rPr>
        <w:noProof/>
        <w:lang w:val="es-CO" w:eastAsia="es-CO"/>
      </w:rPr>
      <mc:AlternateContent>
        <mc:Choice Requires="wps">
          <w:drawing>
            <wp:anchor distT="0" distB="0" distL="114300" distR="114300" simplePos="0" relativeHeight="251662336" behindDoc="0" locked="0" layoutInCell="1" allowOverlap="1" wp14:anchorId="51EC59B5" wp14:editId="733A4EE4">
              <wp:simplePos x="0" y="0"/>
              <wp:positionH relativeFrom="page">
                <wp:posOffset>972922</wp:posOffset>
              </wp:positionH>
              <wp:positionV relativeFrom="margin">
                <wp:posOffset>-602234</wp:posOffset>
              </wp:positionV>
              <wp:extent cx="6200775" cy="9633712"/>
              <wp:effectExtent l="19050" t="19050" r="28575" b="247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633712"/>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CB107" id="Rectángulo 2" o:spid="_x0000_s1026" style="position:absolute;margin-left:76.6pt;margin-top:-47.4pt;width:488.25pt;height:758.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0+gQIAAP8EAAAOAAAAZHJzL2Uyb0RvYy54bWysVNuO2yAQfa/Uf0C8Z20n3lysdVarOKkq&#10;9bLqth9AANuoGCiQONuqH9Nv6Y91wEma7b5UVf2AgRmGc2bOcHN76CTac+uEViXOrlKMuKKaCdWU&#10;+NPHzWiOkfNEMSK14iV+5A7fLl++uOlNwce61ZJxiyCIckVvStx6b4okcbTlHXFX2nAFxlrbjnhY&#10;2iZhlvQQvZPJOE2nSa8tM1ZT7hzsVoMRL2P8uubUv69rxz2SJQZsPo42jtswJssbUjSWmFbQIwzy&#10;Dyg6IhRceg5VEU/QzopnoTpBrXa69ldUd4mua0F55ABssvQPNg8tMTxygeQ4c06T+39h6bv9vUWC&#10;lXiMkSIdlOgDJO3nD9XspEbjkKDeuAL8Hsy9DRSdeaPpZ4eUXrVENfzOWt23nDCAlQX/5MmBsHBw&#10;FG37t5pBfLLzOubqUNsuBIQsoEMsyeO5JPzgEYXNKRR5NrvGiIJtMZ1MZlnElJDidNxY519x3aEw&#10;KbEF+DE82b9xPsAhxckl3Kb0RkgZ6y4V6ks8mWdpGk84LQUL1kjTNtuVtGhPgnTiF8lBAi7dOuFB&#10;wFJ0JZ6fnUgR8rFWLF7jiZDDHKBIFYIDPQB3nA1C+bZIF+v5ep6P8vF0PcrTqhrdbVb5aLrJZtfV&#10;pFqtqux7wJnlRSsY4ypAPYk2y/9OFMf2GeR2lu0TSu6S+SZ+z5knT2HENAOr0z+yi0IItR80tNXs&#10;EXRg9dCF8GrApNX2K0Y9dGCJ3ZcdsRwj+VqBlhZZnoeWjYv8ejaGhb20bC8tRFEIVWKP0TBd+aHN&#10;d8aKpoWbslhjpe9Af7WIygjaHFAdVQtdFhkcX4TQxpfr6PX73Vr+AgAA//8DAFBLAwQUAAYACAAA&#10;ACEAB7WrpuEAAAANAQAADwAAAGRycy9kb3ducmV2LnhtbEyPTU/CQBCG7yb+h82YeDGwbUGltVti&#10;TLgRElAO3Jbu2DZ2Z5vuttR/73CS27yZJ+9Hvp5sK0bsfeNIQTyPQCCVzjRUKfj63MxWIHzQZHTr&#10;CBX8ood1cX+X68y4C+1xPIRKsAn5TCuoQ+gyKX1Zo9V+7jok/n273urAsq+k6fWFzW0rkyh6kVY3&#10;xAm17vCjxvLnMFgF29Pxabfa0rSJ98NO4pi2FAelHh+m9zcQAafwD8O1PleHgjud3UDGi5b18yJh&#10;VMEsXfKGKxEn6SuIM1/LJFmALHJ5u6L4AwAA//8DAFBLAQItABQABgAIAAAAIQC2gziS/gAAAOEB&#10;AAATAAAAAAAAAAAAAAAAAAAAAABbQ29udGVudF9UeXBlc10ueG1sUEsBAi0AFAAGAAgAAAAhADj9&#10;If/WAAAAlAEAAAsAAAAAAAAAAAAAAAAALwEAAF9yZWxzLy5yZWxzUEsBAi0AFAAGAAgAAAAhAKLQ&#10;bT6BAgAA/wQAAA4AAAAAAAAAAAAAAAAALgIAAGRycy9lMm9Eb2MueG1sUEsBAi0AFAAGAAgAAAAh&#10;AAe1q6bhAAAADQEAAA8AAAAAAAAAAAAAAAAA2wQAAGRycy9kb3ducmV2LnhtbFBLBQYAAAAABAAE&#10;APMAAADpBQAAAAA=&#10;" filled="f" strokeweight="3pt">
              <w10:wrap anchorx="page" anchory="margin"/>
            </v:rect>
          </w:pict>
        </mc:Fallback>
      </mc:AlternateContent>
    </w:r>
  </w:p>
  <w:p w:rsidR="00A107FC" w:rsidRDefault="00516DC2" w:rsidP="0064426E">
    <w:pPr>
      <w:rPr>
        <w:b/>
      </w:rPr>
    </w:pPr>
  </w:p>
  <w:p w:rsidR="005D19ED" w:rsidRPr="00111775" w:rsidRDefault="0012372E" w:rsidP="0064426E">
    <w:pPr>
      <w:pStyle w:val="Encabezado"/>
      <w:ind w:right="-91"/>
      <w:outlineLvl w:val="0"/>
      <w:rPr>
        <w:rFonts w:cs="Arial"/>
        <w:b/>
        <w:sz w:val="18"/>
        <w:szCs w:val="18"/>
      </w:rPr>
    </w:pPr>
    <w:r w:rsidRPr="00111775">
      <w:rPr>
        <w:rFonts w:cs="Arial"/>
        <w:sz w:val="18"/>
        <w:szCs w:val="18"/>
      </w:rPr>
      <w:t xml:space="preserve">Continuación de la Resolución </w:t>
    </w:r>
    <w:r w:rsidR="00111775" w:rsidRPr="00111775">
      <w:rPr>
        <w:rFonts w:cs="Arial"/>
        <w:sz w:val="18"/>
        <w:szCs w:val="18"/>
      </w:rPr>
      <w:t>«Por</w:t>
    </w:r>
    <w:r w:rsidR="00111775" w:rsidRPr="00111775">
      <w:rPr>
        <w:rFonts w:cs="Arial"/>
        <w:i/>
        <w:sz w:val="18"/>
        <w:szCs w:val="18"/>
      </w:rPr>
      <w:t xml:space="preserve"> la cual se crea un grupo de trabajo y se modifican dos grupos de trabajo en la Subdirección de Permanencia definidos en la Resolución 1710 de 2010</w:t>
    </w:r>
    <w:r w:rsidR="00DD2928" w:rsidRPr="00111775">
      <w:rPr>
        <w:rFonts w:cs="Arial"/>
        <w:i/>
        <w:sz w:val="18"/>
        <w:szCs w:val="18"/>
      </w:rPr>
      <w:t>»</w:t>
    </w:r>
    <w:r w:rsidR="00111775" w:rsidRPr="00111775">
      <w:rPr>
        <w:rFonts w:cs="Arial"/>
        <w:i/>
        <w:sz w:val="18"/>
        <w:szCs w:val="18"/>
      </w:rPr>
      <w:t>.</w:t>
    </w:r>
  </w:p>
  <w:p w:rsidR="00A107FC" w:rsidRDefault="0092649E" w:rsidP="0092649E">
    <w:pPr>
      <w:pStyle w:val="Textoindependiente2"/>
      <w:jc w:val="both"/>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Pr="007951C8" w:rsidRDefault="00516DC2" w:rsidP="007951C8">
    <w:pPr>
      <w:pStyle w:val="Encabezado"/>
      <w:tabs>
        <w:tab w:val="clear" w:pos="4320"/>
        <w:tab w:val="clear" w:pos="8640"/>
        <w:tab w:val="left" w:pos="9000"/>
        <w:tab w:val="right" w:leader="underscore" w:pos="10530"/>
      </w:tabs>
      <w:rPr>
        <w:sz w:val="28"/>
      </w:rPr>
    </w:pPr>
    <w:r>
      <w:rPr>
        <w:b/>
        <w:noProof/>
        <w:sz w:val="28"/>
        <w:lang w:val="es-CO" w:eastAsia="es-CO"/>
      </w:rPr>
      <w:object w:dxaOrig="1440" w:dyaOrig="1440" w14:anchorId="52A1F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2.85pt;margin-top:29.65pt;width:104.3pt;height:47.2pt;z-index:251664384;visibility:visible;mso-wrap-edited:f" o:allowincell="f">
          <v:imagedata r:id="rId1" o:title=""/>
          <w10:wrap type="topAndBottom"/>
        </v:shape>
        <o:OLEObject Type="Embed" ProgID="Word.Picture.8" ShapeID="_x0000_s2050" DrawAspect="Content" ObjectID="_1569240405" r:id="rId2"/>
      </w:object>
    </w:r>
    <w:r w:rsidR="002B139A">
      <w:rPr>
        <w:noProof/>
        <w:lang w:val="es-CO" w:eastAsia="es-CO"/>
      </w:rPr>
      <mc:AlternateContent>
        <mc:Choice Requires="wps">
          <w:drawing>
            <wp:anchor distT="0" distB="0" distL="114300" distR="114300" simplePos="0" relativeHeight="251660288" behindDoc="0" locked="0" layoutInCell="1" allowOverlap="1" wp14:anchorId="307B7BC6" wp14:editId="0C48244A">
              <wp:simplePos x="0" y="0"/>
              <wp:positionH relativeFrom="page">
                <wp:posOffset>972922</wp:posOffset>
              </wp:positionH>
              <wp:positionV relativeFrom="page">
                <wp:posOffset>775410</wp:posOffset>
              </wp:positionV>
              <wp:extent cx="6134100" cy="10087661"/>
              <wp:effectExtent l="19050" t="19050" r="19050" b="2794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0087661"/>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DACE4" id="Rectángulo 1" o:spid="_x0000_s1026" style="position:absolute;margin-left:76.6pt;margin-top:61.05pt;width:483pt;height:79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76gAIAAAAFAAAOAAAAZHJzL2Uyb0RvYy54bWysVFFu2zAM/R+wOwj6T20nbpoacYoiToYB&#10;3Vas2wEUSbaFyZImKXG6YofZWXaxUXKSpevPMMwfNmlSJB/5qPnNvpNox60TWpU4u0gx4opqJlRT&#10;4s+f1qMZRs4TxYjUipf4kTt8s3j9at6bgo91qyXjFkEQ5YrelLj13hRJ4mjLO+IutOEKjLW2HfGg&#10;2iZhlvQQvZPJOE2nSa8tM1ZT7hz8rQYjXsT4dc2p/1DXjnskSwy1+fi28b0J72QxJ0VjiWkFPZRB&#10;/qGKjggFSU+hKuIJ2lrxIlQnqNVO1/6C6i7RdS0ojxgATZb+geahJYZHLNAcZ05tcv8vLH2/u7dI&#10;MJgdRop0MKKP0LSfP1SzlRploUG9cQX4PZh7GyA6c6fpF4eUXrZENfzWWt23nDAoK/onzw4ExcFR&#10;tOnfaQbxydbr2Kt9bbsQELqA9nEkj6eR8L1HFH5Os0mepTA5CjYQZlfT6ZCEFMfzxjr/husOBaHE&#10;FuqP8cnuznmoPyHF0SWkU3otpIyDlwr1JZ7MQoYITUvBgjUqttkspUU7ErgTn9ANiObO3TrhgcFS&#10;dCWenZxIERqyUiym8UTIQYbDUoXggA+KO0gDU56u0+vVbDXLR/l4uhrlaVWNbtfLfDRdZ1eX1aRa&#10;Lqvse6gzy4tWMMZVKPXI2iz/O1Yc9mfg24m3zyC5c+Tr+LxEnjwvIzYGUB2/EV1kQhj+QKKNZo9A&#10;BKuHNYRrA4RW228Y9bCCJXZft8RyjORbBWS6zvI87GxU8surMSj23LI5txBFIVSJPUaDuPTDnm+N&#10;FU0LmbI4Y6VvgYC1iMwI5ByqgrqDAmsWERyuhLDH53r0+n1xLX4BAAD//wMAUEsDBBQABgAIAAAA&#10;IQByMejf3wAAAA0BAAAPAAAAZHJzL2Rvd25yZXYueG1sTI9BT8MwDIXvSPyHyEhcEEtTBNtK0wkh&#10;7TZN2oADt6wxbUXiVE3alX+Pd4Lbe/bT8+dyM3snJhxiF0iDWmQgkOpgO2o0vL9t71cgYjJkjQuE&#10;Gn4wwqa6vipNYcOZDjgdUyO4hGJhNLQp9YWUsW7Rm7gIPRLvvsLgTWI7NNIO5szl3sk8y56kNx3x&#10;hdb0+Npi/X0cvYbd58fdfrWjeasO417itHakkta3N/PLM4iEc/oLwwWf0aFiplMYyUbh2D8+5Bxl&#10;kecKxCWh1JpHJ1ZLlS1BVqX8/0X1CwAA//8DAFBLAQItABQABgAIAAAAIQC2gziS/gAAAOEBAAAT&#10;AAAAAAAAAAAAAAAAAAAAAABbQ29udGVudF9UeXBlc10ueG1sUEsBAi0AFAAGAAgAAAAhADj9If/W&#10;AAAAlAEAAAsAAAAAAAAAAAAAAAAALwEAAF9yZWxzLy5yZWxzUEsBAi0AFAAGAAgAAAAhAE5IzvqA&#10;AgAAAAUAAA4AAAAAAAAAAAAAAAAALgIAAGRycy9lMm9Eb2MueG1sUEsBAi0AFAAGAAgAAAAhAHIx&#10;6N/fAAAADQEAAA8AAAAAAAAAAAAAAAAA2gQAAGRycy9kb3ducmV2LnhtbFBLBQYAAAAABAAEAPMA&#10;AADmBQAAAAA=&#10;" filled="f" strokeweight="3pt">
              <w10:wrap anchorx="page" anchory="page"/>
            </v:rect>
          </w:pict>
        </mc:Fallback>
      </mc:AlternateContent>
    </w:r>
    <w:r w:rsidR="0012372E">
      <w:rPr>
        <w:rFonts w:ascii="Astaire" w:hAnsi="Astaire"/>
        <w:b/>
        <w:sz w:val="28"/>
      </w:rPr>
      <w:t xml:space="preserve"> </w:t>
    </w:r>
  </w:p>
  <w:p w:rsidR="00736A81" w:rsidRDefault="00736A81" w:rsidP="00DD2928">
    <w:pPr>
      <w:pStyle w:val="Encabezado"/>
      <w:jc w:val="center"/>
      <w:rPr>
        <w:b/>
        <w:sz w:val="24"/>
      </w:rPr>
    </w:pPr>
  </w:p>
  <w:p w:rsidR="00DD2928" w:rsidRDefault="00DD2928" w:rsidP="00DD2928">
    <w:pPr>
      <w:pStyle w:val="Encabezado"/>
      <w:jc w:val="center"/>
      <w:rPr>
        <w:b/>
        <w:sz w:val="24"/>
      </w:rPr>
    </w:pPr>
    <w:r>
      <w:rPr>
        <w:b/>
        <w:sz w:val="24"/>
      </w:rPr>
      <w:t>MINISTERIO DE EDUCACIÓN NACIONAL</w:t>
    </w:r>
  </w:p>
  <w:p w:rsidR="00DD2928" w:rsidRDefault="00DD2928" w:rsidP="00DD2928">
    <w:pPr>
      <w:pStyle w:val="Encabezado"/>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57D8"/>
    <w:multiLevelType w:val="hybridMultilevel"/>
    <w:tmpl w:val="8F2AC3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3D241B"/>
    <w:multiLevelType w:val="hybridMultilevel"/>
    <w:tmpl w:val="D408D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053331"/>
    <w:multiLevelType w:val="hybridMultilevel"/>
    <w:tmpl w:val="9F286F4C"/>
    <w:lvl w:ilvl="0" w:tplc="240A000F">
      <w:start w:val="1"/>
      <w:numFmt w:val="decimal"/>
      <w:lvlText w:val="%1."/>
      <w:lvlJc w:val="left"/>
      <w:pPr>
        <w:ind w:left="720" w:hanging="360"/>
      </w:pPr>
    </w:lvl>
    <w:lvl w:ilvl="1" w:tplc="4290F34E">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EB2DAF"/>
    <w:multiLevelType w:val="hybridMultilevel"/>
    <w:tmpl w:val="8F2AC3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8C835DD"/>
    <w:multiLevelType w:val="hybridMultilevel"/>
    <w:tmpl w:val="3556954C"/>
    <w:lvl w:ilvl="0" w:tplc="0C0A000F">
      <w:start w:val="1"/>
      <w:numFmt w:val="decimal"/>
      <w:lvlText w:val="%1."/>
      <w:lvlJc w:val="left"/>
      <w:pPr>
        <w:tabs>
          <w:tab w:val="num" w:pos="360"/>
        </w:tabs>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25E03ED"/>
    <w:multiLevelType w:val="hybridMultilevel"/>
    <w:tmpl w:val="CD90C8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3A20574"/>
    <w:multiLevelType w:val="hybridMultilevel"/>
    <w:tmpl w:val="8F9AA594"/>
    <w:lvl w:ilvl="0" w:tplc="C968514A">
      <w:start w:val="1"/>
      <w:numFmt w:val="lowerLetter"/>
      <w:lvlText w:val="%1."/>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9A0C95"/>
    <w:multiLevelType w:val="hybridMultilevel"/>
    <w:tmpl w:val="E1783BC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02372DB"/>
    <w:multiLevelType w:val="hybridMultilevel"/>
    <w:tmpl w:val="2252F170"/>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9" w15:restartNumberingAfterBreak="0">
    <w:nsid w:val="611E05B8"/>
    <w:multiLevelType w:val="hybridMultilevel"/>
    <w:tmpl w:val="E6E69F4E"/>
    <w:lvl w:ilvl="0" w:tplc="24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6B48A1"/>
    <w:multiLevelType w:val="hybridMultilevel"/>
    <w:tmpl w:val="8F2AC3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4"/>
  </w:num>
  <w:num w:numId="5">
    <w:abstractNumId w:val="7"/>
  </w:num>
  <w:num w:numId="6">
    <w:abstractNumId w:val="8"/>
  </w:num>
  <w:num w:numId="7">
    <w:abstractNumId w:val="0"/>
  </w:num>
  <w:num w:numId="8">
    <w:abstractNumId w:val="3"/>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B5"/>
    <w:rsid w:val="00021F5F"/>
    <w:rsid w:val="00053075"/>
    <w:rsid w:val="000922DA"/>
    <w:rsid w:val="000E20FC"/>
    <w:rsid w:val="00111775"/>
    <w:rsid w:val="0012372E"/>
    <w:rsid w:val="00125C9B"/>
    <w:rsid w:val="0012729B"/>
    <w:rsid w:val="001638C7"/>
    <w:rsid w:val="001A3C18"/>
    <w:rsid w:val="001B3F96"/>
    <w:rsid w:val="001C394F"/>
    <w:rsid w:val="001D6B61"/>
    <w:rsid w:val="001F70BC"/>
    <w:rsid w:val="002B139A"/>
    <w:rsid w:val="002C7C35"/>
    <w:rsid w:val="002E0C55"/>
    <w:rsid w:val="002F6E89"/>
    <w:rsid w:val="00323287"/>
    <w:rsid w:val="00345ECB"/>
    <w:rsid w:val="00386444"/>
    <w:rsid w:val="003B3894"/>
    <w:rsid w:val="003F6E9A"/>
    <w:rsid w:val="00414A6C"/>
    <w:rsid w:val="00422DB0"/>
    <w:rsid w:val="004560FE"/>
    <w:rsid w:val="004D2D03"/>
    <w:rsid w:val="00516B75"/>
    <w:rsid w:val="00516DC2"/>
    <w:rsid w:val="0052434D"/>
    <w:rsid w:val="005601B5"/>
    <w:rsid w:val="0057089F"/>
    <w:rsid w:val="005B1C42"/>
    <w:rsid w:val="0063073A"/>
    <w:rsid w:val="0064426E"/>
    <w:rsid w:val="00680802"/>
    <w:rsid w:val="006B0467"/>
    <w:rsid w:val="00724B3A"/>
    <w:rsid w:val="00736A81"/>
    <w:rsid w:val="007456E0"/>
    <w:rsid w:val="007951C8"/>
    <w:rsid w:val="007A12D6"/>
    <w:rsid w:val="007B1D35"/>
    <w:rsid w:val="00847671"/>
    <w:rsid w:val="0086462D"/>
    <w:rsid w:val="00871EAC"/>
    <w:rsid w:val="008926EA"/>
    <w:rsid w:val="008F4445"/>
    <w:rsid w:val="00901EF7"/>
    <w:rsid w:val="0092649E"/>
    <w:rsid w:val="0099360B"/>
    <w:rsid w:val="00997905"/>
    <w:rsid w:val="00A459D3"/>
    <w:rsid w:val="00A514CC"/>
    <w:rsid w:val="00A965B0"/>
    <w:rsid w:val="00AC1C5E"/>
    <w:rsid w:val="00B25F83"/>
    <w:rsid w:val="00B36A77"/>
    <w:rsid w:val="00B6641B"/>
    <w:rsid w:val="00C10D0A"/>
    <w:rsid w:val="00C45F65"/>
    <w:rsid w:val="00CB6D30"/>
    <w:rsid w:val="00CD5550"/>
    <w:rsid w:val="00CD5FAB"/>
    <w:rsid w:val="00D01913"/>
    <w:rsid w:val="00D31C02"/>
    <w:rsid w:val="00D523D8"/>
    <w:rsid w:val="00D67391"/>
    <w:rsid w:val="00D673D8"/>
    <w:rsid w:val="00DC5917"/>
    <w:rsid w:val="00DD2928"/>
    <w:rsid w:val="00DD4E8A"/>
    <w:rsid w:val="00DF5E84"/>
    <w:rsid w:val="00E61AAE"/>
    <w:rsid w:val="00E85564"/>
    <w:rsid w:val="00EA40C2"/>
    <w:rsid w:val="00EB36BB"/>
    <w:rsid w:val="00EB4ED7"/>
    <w:rsid w:val="00EC463A"/>
    <w:rsid w:val="00EF12B0"/>
    <w:rsid w:val="00F3566A"/>
    <w:rsid w:val="00F62062"/>
    <w:rsid w:val="00FB3F29"/>
    <w:rsid w:val="00FC6414"/>
    <w:rsid w:val="00FD20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B5FE47"/>
  <w15:docId w15:val="{2E414326-F680-468C-A01F-3127692C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01B5"/>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01B5"/>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5601B5"/>
    <w:rPr>
      <w:rFonts w:ascii="Arial" w:eastAsia="Times New Roman" w:hAnsi="Arial" w:cs="Times New Roman"/>
      <w:sz w:val="20"/>
      <w:szCs w:val="20"/>
      <w:lang w:val="es-ES_tradnl" w:eastAsia="es-ES"/>
    </w:rPr>
  </w:style>
  <w:style w:type="character" w:styleId="Nmerodepgina">
    <w:name w:val="page number"/>
    <w:basedOn w:val="Fuentedeprrafopredeter"/>
    <w:rsid w:val="005601B5"/>
  </w:style>
  <w:style w:type="paragraph" w:styleId="Piedepgina">
    <w:name w:val="footer"/>
    <w:basedOn w:val="Normal"/>
    <w:link w:val="PiedepginaCar"/>
    <w:rsid w:val="005601B5"/>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5601B5"/>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5601B5"/>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5601B5"/>
    <w:rPr>
      <w:rFonts w:ascii="Arial" w:eastAsia="Times New Roman" w:hAnsi="Arial" w:cs="Times New Roman"/>
      <w:b/>
      <w:snapToGrid w:val="0"/>
      <w:color w:val="000000"/>
      <w:sz w:val="24"/>
      <w:szCs w:val="20"/>
      <w:lang w:val="es-ES" w:eastAsia="es-ES"/>
    </w:rPr>
  </w:style>
  <w:style w:type="paragraph" w:styleId="Prrafodelista">
    <w:name w:val="List Paragraph"/>
    <w:basedOn w:val="Normal"/>
    <w:link w:val="PrrafodelistaCar"/>
    <w:uiPriority w:val="72"/>
    <w:qFormat/>
    <w:rsid w:val="0057089F"/>
    <w:pPr>
      <w:ind w:left="720"/>
      <w:contextualSpacing/>
    </w:pPr>
  </w:style>
  <w:style w:type="character" w:styleId="Refdecomentario">
    <w:name w:val="annotation reference"/>
    <w:basedOn w:val="Fuentedeprrafopredeter"/>
    <w:uiPriority w:val="99"/>
    <w:semiHidden/>
    <w:unhideWhenUsed/>
    <w:rsid w:val="00345ECB"/>
    <w:rPr>
      <w:sz w:val="16"/>
      <w:szCs w:val="16"/>
    </w:rPr>
  </w:style>
  <w:style w:type="paragraph" w:styleId="Textocomentario">
    <w:name w:val="annotation text"/>
    <w:basedOn w:val="Normal"/>
    <w:link w:val="TextocomentarioCar"/>
    <w:uiPriority w:val="99"/>
    <w:semiHidden/>
    <w:unhideWhenUsed/>
    <w:rsid w:val="00345ECB"/>
    <w:rPr>
      <w:sz w:val="20"/>
      <w:szCs w:val="20"/>
    </w:rPr>
  </w:style>
  <w:style w:type="character" w:customStyle="1" w:styleId="TextocomentarioCar">
    <w:name w:val="Texto comentario Car"/>
    <w:basedOn w:val="Fuentedeprrafopredeter"/>
    <w:link w:val="Textocomentario"/>
    <w:uiPriority w:val="99"/>
    <w:semiHidden/>
    <w:rsid w:val="00345EC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5ECB"/>
    <w:rPr>
      <w:b/>
      <w:bCs/>
    </w:rPr>
  </w:style>
  <w:style w:type="character" w:customStyle="1" w:styleId="AsuntodelcomentarioCar">
    <w:name w:val="Asunto del comentario Car"/>
    <w:basedOn w:val="TextocomentarioCar"/>
    <w:link w:val="Asuntodelcomentario"/>
    <w:uiPriority w:val="99"/>
    <w:semiHidden/>
    <w:rsid w:val="00345ECB"/>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345ECB"/>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ECB"/>
    <w:rPr>
      <w:rFonts w:ascii="Tahoma" w:eastAsia="Times New Roman" w:hAnsi="Tahoma" w:cs="Tahoma"/>
      <w:sz w:val="16"/>
      <w:szCs w:val="16"/>
      <w:lang w:val="es-ES" w:eastAsia="es-ES"/>
    </w:rPr>
  </w:style>
  <w:style w:type="character" w:customStyle="1" w:styleId="PrrafodelistaCar">
    <w:name w:val="Párrafo de lista Car"/>
    <w:link w:val="Prrafodelista"/>
    <w:uiPriority w:val="72"/>
    <w:locked/>
    <w:rsid w:val="00DD2928"/>
    <w:rPr>
      <w:rFonts w:ascii="Arial" w:eastAsia="Times New Roman" w:hAnsi="Arial" w:cs="Times New Roman"/>
      <w:sz w:val="24"/>
      <w:szCs w:val="24"/>
      <w:lang w:val="es-ES" w:eastAsia="es-ES"/>
    </w:rPr>
  </w:style>
  <w:style w:type="table" w:styleId="Tablaconcuadrcula">
    <w:name w:val="Table Grid"/>
    <w:basedOn w:val="Tablanormal"/>
    <w:uiPriority w:val="59"/>
    <w:rsid w:val="00DD292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xt">
    <w:name w:val="btext"/>
    <w:basedOn w:val="Fuentedeprrafopredeter"/>
    <w:rsid w:val="00DD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57D75-E9F1-4A8D-865B-83E224AB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2124</Words>
  <Characters>11683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Enrique Valencia Chamorro</dc:creator>
  <cp:lastModifiedBy>Dayan Eliana Gonzalez</cp:lastModifiedBy>
  <cp:revision>10</cp:revision>
  <dcterms:created xsi:type="dcterms:W3CDTF">2017-09-28T21:34:00Z</dcterms:created>
  <dcterms:modified xsi:type="dcterms:W3CDTF">2017-10-11T20:20:00Z</dcterms:modified>
</cp:coreProperties>
</file>