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A3" w:rsidRDefault="00776FA3" w:rsidP="00776FA3">
      <w:pPr>
        <w:jc w:val="center"/>
        <w:rPr>
          <w:rFonts w:ascii="Arial Narrow" w:hAnsi="Arial Narrow" w:cs="Arial"/>
          <w:b/>
          <w:sz w:val="22"/>
          <w:szCs w:val="22"/>
        </w:rPr>
      </w:pPr>
    </w:p>
    <w:p w:rsidR="007826BD" w:rsidRDefault="007826BD" w:rsidP="00776FA3">
      <w:pPr>
        <w:jc w:val="center"/>
        <w:rPr>
          <w:rFonts w:ascii="Arial Narrow" w:hAnsi="Arial Narrow" w:cs="Arial"/>
          <w:b/>
          <w:sz w:val="22"/>
          <w:szCs w:val="22"/>
        </w:rPr>
      </w:pPr>
    </w:p>
    <w:p w:rsidR="00DB184B" w:rsidRDefault="00DB184B" w:rsidP="00776FA3">
      <w:pPr>
        <w:jc w:val="center"/>
        <w:rPr>
          <w:rFonts w:ascii="Arial Narrow" w:hAnsi="Arial Narrow" w:cs="Arial"/>
          <w:b/>
          <w:sz w:val="22"/>
          <w:szCs w:val="22"/>
        </w:rPr>
      </w:pPr>
    </w:p>
    <w:p w:rsidR="00776FA3" w:rsidRDefault="00776FA3" w:rsidP="00776FA3">
      <w:pPr>
        <w:jc w:val="center"/>
        <w:rPr>
          <w:rFonts w:ascii="Arial Narrow" w:hAnsi="Arial Narrow" w:cs="Arial"/>
          <w:b/>
          <w:sz w:val="22"/>
          <w:szCs w:val="22"/>
        </w:rPr>
      </w:pPr>
      <w:r w:rsidRPr="002C70AC">
        <w:rPr>
          <w:rFonts w:ascii="Arial Narrow" w:hAnsi="Arial Narrow" w:cs="Arial"/>
          <w:b/>
          <w:sz w:val="22"/>
          <w:szCs w:val="22"/>
        </w:rPr>
        <w:t>(                                                               )</w:t>
      </w:r>
    </w:p>
    <w:p w:rsidR="009A412F" w:rsidRDefault="009A412F" w:rsidP="00776FA3">
      <w:pPr>
        <w:jc w:val="center"/>
        <w:rPr>
          <w:rFonts w:ascii="Arial Narrow" w:hAnsi="Arial Narrow" w:cs="Arial"/>
          <w:b/>
          <w:sz w:val="22"/>
          <w:szCs w:val="22"/>
        </w:rPr>
      </w:pPr>
    </w:p>
    <w:p w:rsidR="002A3B6D" w:rsidRDefault="002A3B6D" w:rsidP="00776FA3">
      <w:pPr>
        <w:jc w:val="center"/>
        <w:rPr>
          <w:rFonts w:ascii="Arial Narrow" w:hAnsi="Arial Narrow" w:cs="Arial"/>
          <w:b/>
          <w:sz w:val="22"/>
          <w:szCs w:val="22"/>
        </w:rPr>
      </w:pPr>
    </w:p>
    <w:p w:rsidR="005B738C" w:rsidRDefault="005B738C" w:rsidP="00776FA3">
      <w:pPr>
        <w:jc w:val="center"/>
        <w:rPr>
          <w:rFonts w:ascii="Arial Narrow" w:hAnsi="Arial Narrow" w:cs="Arial"/>
          <w:b/>
          <w:sz w:val="22"/>
          <w:szCs w:val="22"/>
        </w:rPr>
      </w:pPr>
    </w:p>
    <w:p w:rsidR="00DB184B" w:rsidRDefault="00DB184B" w:rsidP="00776FA3">
      <w:pPr>
        <w:jc w:val="center"/>
        <w:rPr>
          <w:rFonts w:ascii="Arial Narrow" w:hAnsi="Arial Narrow" w:cs="Arial"/>
          <w:b/>
          <w:sz w:val="22"/>
          <w:szCs w:val="22"/>
        </w:rPr>
      </w:pPr>
    </w:p>
    <w:p w:rsidR="002A3B6D" w:rsidRPr="002A3B6D" w:rsidRDefault="002A3B6D" w:rsidP="002A3B6D">
      <w:pPr>
        <w:jc w:val="center"/>
        <w:rPr>
          <w:rFonts w:ascii="Arial" w:hAnsi="Arial" w:cs="Arial"/>
          <w:sz w:val="24"/>
          <w:szCs w:val="24"/>
        </w:rPr>
      </w:pPr>
      <w:r w:rsidRPr="002A3B6D">
        <w:rPr>
          <w:rFonts w:ascii="Arial" w:hAnsi="Arial" w:cs="Arial"/>
          <w:sz w:val="24"/>
          <w:szCs w:val="24"/>
        </w:rPr>
        <w:t>“</w:t>
      </w:r>
      <w:r w:rsidR="00DB184B" w:rsidRPr="00DB184B">
        <w:rPr>
          <w:rFonts w:ascii="Arial" w:hAnsi="Arial" w:cs="Arial"/>
          <w:sz w:val="24"/>
          <w:szCs w:val="24"/>
        </w:rPr>
        <w:t>Por la cual se dispone el funcionamiento del aplicativo para la provisión de vacantes definitivas de cargos docentes mediante nombramiento provisional</w:t>
      </w:r>
      <w:r w:rsidRPr="002A3B6D">
        <w:rPr>
          <w:rFonts w:ascii="Arial" w:hAnsi="Arial" w:cs="Arial"/>
          <w:sz w:val="24"/>
          <w:szCs w:val="24"/>
        </w:rPr>
        <w:t>”</w:t>
      </w:r>
    </w:p>
    <w:p w:rsidR="002A3B6D" w:rsidRPr="005B738C" w:rsidRDefault="002A3B6D" w:rsidP="002A3B6D">
      <w:pPr>
        <w:jc w:val="center"/>
        <w:rPr>
          <w:rFonts w:ascii="Arial" w:hAnsi="Arial" w:cs="Arial"/>
          <w:b/>
          <w:sz w:val="24"/>
          <w:szCs w:val="24"/>
        </w:rPr>
      </w:pPr>
    </w:p>
    <w:p w:rsidR="002A3B6D" w:rsidRPr="005B738C" w:rsidRDefault="002A3B6D" w:rsidP="002A3B6D">
      <w:pPr>
        <w:jc w:val="center"/>
        <w:rPr>
          <w:rFonts w:ascii="Arial" w:hAnsi="Arial" w:cs="Arial"/>
          <w:b/>
          <w:sz w:val="24"/>
          <w:szCs w:val="24"/>
        </w:rPr>
      </w:pPr>
    </w:p>
    <w:p w:rsidR="002A3B6D" w:rsidRPr="002A3B6D" w:rsidRDefault="002A3B6D" w:rsidP="002A3B6D">
      <w:pPr>
        <w:jc w:val="center"/>
        <w:rPr>
          <w:rFonts w:ascii="Arial" w:hAnsi="Arial" w:cs="Arial"/>
          <w:b/>
          <w:sz w:val="24"/>
          <w:szCs w:val="24"/>
        </w:rPr>
      </w:pPr>
      <w:r w:rsidRPr="002A3B6D">
        <w:rPr>
          <w:rFonts w:ascii="Arial" w:hAnsi="Arial" w:cs="Arial"/>
          <w:b/>
          <w:sz w:val="24"/>
          <w:szCs w:val="24"/>
        </w:rPr>
        <w:t>LA MINISTRA DE EDUCACIÓN NACIONAL</w:t>
      </w:r>
    </w:p>
    <w:p w:rsidR="002A3B6D" w:rsidRPr="005B738C" w:rsidRDefault="002A3B6D" w:rsidP="002A3B6D">
      <w:pPr>
        <w:rPr>
          <w:rFonts w:ascii="Arial" w:hAnsi="Arial" w:cs="Arial"/>
          <w:sz w:val="24"/>
          <w:szCs w:val="24"/>
        </w:rPr>
      </w:pPr>
    </w:p>
    <w:p w:rsidR="002A3B6D" w:rsidRPr="002A3B6D" w:rsidRDefault="002A3B6D" w:rsidP="002A3B6D">
      <w:pPr>
        <w:rPr>
          <w:rFonts w:ascii="Arial" w:hAnsi="Arial" w:cs="Arial"/>
          <w:sz w:val="24"/>
          <w:szCs w:val="24"/>
        </w:rPr>
      </w:pPr>
    </w:p>
    <w:p w:rsidR="00DB184B" w:rsidRPr="00DB184B" w:rsidRDefault="00DB184B" w:rsidP="00DB184B">
      <w:pPr>
        <w:jc w:val="center"/>
        <w:rPr>
          <w:rFonts w:ascii="Arial" w:hAnsi="Arial" w:cs="Arial"/>
          <w:sz w:val="24"/>
          <w:szCs w:val="24"/>
        </w:rPr>
      </w:pPr>
      <w:r w:rsidRPr="00DB184B">
        <w:rPr>
          <w:rFonts w:ascii="Arial" w:hAnsi="Arial" w:cs="Arial"/>
          <w:sz w:val="24"/>
          <w:szCs w:val="24"/>
        </w:rPr>
        <w:t>En ejercicio de sus facultades legales y reglamentarias, en especial las conferidas por el artículo 32 de la Ley 715 de 2001 y el artículo 2.3.6.5 del Decreto 1075 de 2015, Único Reglamentario del Sector Educación, y</w:t>
      </w:r>
    </w:p>
    <w:p w:rsidR="00DB184B" w:rsidRDefault="00DB184B" w:rsidP="00DB184B">
      <w:pPr>
        <w:ind w:right="-376"/>
        <w:jc w:val="center"/>
        <w:rPr>
          <w:rFonts w:ascii="Arial" w:hAnsi="Arial" w:cs="Arial"/>
          <w:b/>
          <w:sz w:val="24"/>
          <w:szCs w:val="24"/>
        </w:rPr>
      </w:pPr>
    </w:p>
    <w:p w:rsidR="00DB184B" w:rsidRPr="00DB184B" w:rsidRDefault="00DB184B" w:rsidP="00DB184B">
      <w:pPr>
        <w:ind w:right="-376"/>
        <w:jc w:val="center"/>
        <w:rPr>
          <w:rFonts w:ascii="Arial" w:hAnsi="Arial" w:cs="Arial"/>
          <w:b/>
          <w:sz w:val="24"/>
          <w:szCs w:val="24"/>
        </w:rPr>
      </w:pPr>
    </w:p>
    <w:p w:rsidR="00DB184B" w:rsidRPr="00DB184B" w:rsidRDefault="00DB184B" w:rsidP="00DB184B">
      <w:pPr>
        <w:ind w:right="-376"/>
        <w:jc w:val="center"/>
        <w:rPr>
          <w:rFonts w:ascii="Arial" w:hAnsi="Arial" w:cs="Arial"/>
          <w:b/>
          <w:sz w:val="24"/>
          <w:szCs w:val="24"/>
        </w:rPr>
      </w:pPr>
      <w:r w:rsidRPr="00DB184B">
        <w:rPr>
          <w:rFonts w:ascii="Arial" w:hAnsi="Arial" w:cs="Arial"/>
          <w:b/>
          <w:sz w:val="24"/>
          <w:szCs w:val="24"/>
        </w:rPr>
        <w:t>CONSIDERANDO</w:t>
      </w:r>
    </w:p>
    <w:p w:rsidR="00DB184B" w:rsidRDefault="00DB184B" w:rsidP="00DB184B">
      <w:pPr>
        <w:ind w:right="-376"/>
        <w:jc w:val="center"/>
        <w:rPr>
          <w:rFonts w:ascii="Arial" w:hAnsi="Arial" w:cs="Arial"/>
          <w:b/>
          <w:sz w:val="24"/>
          <w:szCs w:val="24"/>
        </w:rPr>
      </w:pPr>
    </w:p>
    <w:p w:rsidR="00DB184B" w:rsidRPr="00DB184B" w:rsidRDefault="00DB184B" w:rsidP="00DB184B">
      <w:pPr>
        <w:ind w:right="-376"/>
        <w:jc w:val="center"/>
        <w:rPr>
          <w:rFonts w:ascii="Arial" w:hAnsi="Arial" w:cs="Arial"/>
          <w:b/>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sz w:val="24"/>
          <w:szCs w:val="24"/>
        </w:rPr>
        <w:t xml:space="preserve">Que el Decreto 490 de 2016 adicionó el Capítulo 3, al Título 6, Parte 4, Libro 2 del Decreto 1075 de 2015, Único Reglamentario del Sector Educación con el fin de </w:t>
      </w:r>
      <w:r w:rsidRPr="00DB184B">
        <w:rPr>
          <w:rFonts w:ascii="Arial" w:hAnsi="Arial" w:cs="Arial"/>
          <w:bCs/>
          <w:sz w:val="24"/>
          <w:szCs w:val="24"/>
        </w:rPr>
        <w:t xml:space="preserve">reglamentar los tipos de cargos de los empleos de docente y directivo docente establecidos por </w:t>
      </w:r>
      <w:r w:rsidRPr="00DB184B">
        <w:rPr>
          <w:rFonts w:ascii="Arial" w:eastAsia="Cambria" w:hAnsi="Arial" w:cs="Arial"/>
          <w:sz w:val="24"/>
          <w:szCs w:val="24"/>
          <w:lang w:val="es-CO" w:eastAsia="en-US"/>
        </w:rPr>
        <w:t>el sistema especial de carrera docente</w:t>
      </w:r>
      <w:r w:rsidRPr="00DB184B">
        <w:rPr>
          <w:rFonts w:ascii="Arial" w:hAnsi="Arial" w:cs="Arial"/>
          <w:bCs/>
          <w:sz w:val="24"/>
          <w:szCs w:val="24"/>
        </w:rPr>
        <w:t>, así como los criterios para su provisión por parte de las entidades territoriales certificadas en educación.</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Cs/>
          <w:sz w:val="24"/>
          <w:szCs w:val="24"/>
        </w:rPr>
        <w:t xml:space="preserve">Que el artículo 2.4.6.3.9 del Decreto 1075 de 2015  consagra el orden de prioridad que deben seguir las entidades territoriales certificadas en educación para la provisión de cargos docentes y directivos docentes que se encuentren en vacancia definitiva. </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Cs/>
          <w:sz w:val="24"/>
          <w:szCs w:val="24"/>
        </w:rPr>
        <w:t>Que como último criterio para la provisión de vacantes definitivas se encuentra el nombramiento en provisionalidad, el cual es aplicable para los cargos de docentes de aula y los docentes líderes de apoyo, según lo dispuesto en el numeral 6º del artículo 2.4.6.3.9 del Decreto 1075 de 2015.</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Cs/>
          <w:sz w:val="24"/>
          <w:szCs w:val="24"/>
        </w:rPr>
        <w:t xml:space="preserve">Que de conformidad con lo ordenado por el artículo 2.4.6.3.10 del Decreto 1075 de 2015, el nombramiento en provisionalidad indicado en el considerando anterior, solo procede con personas que se encuentren inscritas en el aplicativo dispuesto por el Ministerio de Educación Nacional, el cual hace parte del Sistema de Información Nacional de Educación Básica y Media de </w:t>
      </w:r>
      <w:proofErr w:type="spellStart"/>
      <w:r w:rsidRPr="00DB184B">
        <w:rPr>
          <w:rFonts w:ascii="Arial" w:hAnsi="Arial" w:cs="Arial"/>
          <w:bCs/>
          <w:sz w:val="24"/>
          <w:szCs w:val="24"/>
        </w:rPr>
        <w:t>que</w:t>
      </w:r>
      <w:proofErr w:type="spellEnd"/>
      <w:r w:rsidRPr="00DB184B">
        <w:rPr>
          <w:rFonts w:ascii="Arial" w:hAnsi="Arial" w:cs="Arial"/>
          <w:bCs/>
          <w:sz w:val="24"/>
          <w:szCs w:val="24"/>
        </w:rPr>
        <w:t xml:space="preserve"> trata el numeral 5.4 del artículo 5 de la Ley 715 de 2001.  </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Cs/>
          <w:sz w:val="24"/>
          <w:szCs w:val="24"/>
        </w:rPr>
        <w:t xml:space="preserve">Que por lo anterior, es necesario expedir la presente resolución, con el fin de  implementar el referido aplicativo y regular los criterios y procedimientos para la inscripción de los aspirantes a ocupar en provisionalidad un cargo docente en vacancia definitiva, su uso por parte de las entidades territoriales certificadas en educación y las responsabilidades a cargo del Ministerio de Educación Nacional.  </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Pr>
          <w:rFonts w:ascii="Arial" w:hAnsi="Arial" w:cs="Arial"/>
          <w:bCs/>
          <w:sz w:val="24"/>
          <w:szCs w:val="24"/>
        </w:rPr>
        <w:t>Que e</w:t>
      </w:r>
      <w:r w:rsidRPr="00DB184B">
        <w:rPr>
          <w:rFonts w:ascii="Arial" w:hAnsi="Arial" w:cs="Arial"/>
          <w:bCs/>
          <w:sz w:val="24"/>
          <w:szCs w:val="24"/>
        </w:rPr>
        <w:t xml:space="preserve">n mérito de lo expuesto, </w:t>
      </w:r>
    </w:p>
    <w:p w:rsidR="00DB184B" w:rsidRDefault="00DB184B" w:rsidP="00DB184B">
      <w:pPr>
        <w:ind w:right="-376"/>
        <w:jc w:val="center"/>
        <w:rPr>
          <w:rFonts w:ascii="Arial" w:hAnsi="Arial" w:cs="Arial"/>
          <w:b/>
          <w:sz w:val="24"/>
          <w:szCs w:val="24"/>
        </w:rPr>
      </w:pPr>
    </w:p>
    <w:p w:rsidR="00DB184B" w:rsidRDefault="00DB184B" w:rsidP="00DB184B">
      <w:pPr>
        <w:ind w:right="-376"/>
        <w:jc w:val="center"/>
        <w:rPr>
          <w:rFonts w:ascii="Arial" w:hAnsi="Arial" w:cs="Arial"/>
          <w:b/>
          <w:sz w:val="24"/>
          <w:szCs w:val="24"/>
        </w:rPr>
      </w:pPr>
    </w:p>
    <w:p w:rsidR="00DB184B" w:rsidRDefault="00DB184B" w:rsidP="00DB184B">
      <w:pPr>
        <w:ind w:right="-376"/>
        <w:jc w:val="center"/>
        <w:rPr>
          <w:rFonts w:ascii="Arial" w:hAnsi="Arial" w:cs="Arial"/>
          <w:b/>
          <w:sz w:val="24"/>
          <w:szCs w:val="24"/>
        </w:rPr>
      </w:pPr>
    </w:p>
    <w:p w:rsidR="00DB184B" w:rsidRDefault="00DB184B" w:rsidP="00DB184B">
      <w:pPr>
        <w:ind w:right="-376"/>
        <w:jc w:val="center"/>
        <w:rPr>
          <w:rFonts w:ascii="Arial" w:hAnsi="Arial" w:cs="Arial"/>
          <w:b/>
          <w:sz w:val="24"/>
          <w:szCs w:val="24"/>
        </w:rPr>
      </w:pPr>
    </w:p>
    <w:p w:rsidR="00DB184B" w:rsidRDefault="00DB184B" w:rsidP="00DB184B">
      <w:pPr>
        <w:ind w:right="-376"/>
        <w:jc w:val="center"/>
        <w:rPr>
          <w:rFonts w:ascii="Arial" w:hAnsi="Arial" w:cs="Arial"/>
          <w:b/>
          <w:sz w:val="24"/>
          <w:szCs w:val="24"/>
        </w:rPr>
      </w:pPr>
    </w:p>
    <w:p w:rsidR="00DB184B" w:rsidRPr="00DB184B" w:rsidRDefault="00DB184B" w:rsidP="00DB184B">
      <w:pPr>
        <w:ind w:right="-376"/>
        <w:jc w:val="center"/>
        <w:rPr>
          <w:rFonts w:ascii="Arial" w:hAnsi="Arial" w:cs="Arial"/>
          <w:b/>
          <w:sz w:val="24"/>
          <w:szCs w:val="24"/>
        </w:rPr>
      </w:pPr>
      <w:r w:rsidRPr="00DB184B">
        <w:rPr>
          <w:rFonts w:ascii="Arial" w:hAnsi="Arial" w:cs="Arial"/>
          <w:b/>
          <w:sz w:val="24"/>
          <w:szCs w:val="24"/>
        </w:rPr>
        <w:t>RESUELVE</w:t>
      </w:r>
    </w:p>
    <w:p w:rsidR="00DB184B" w:rsidRPr="00DB184B" w:rsidRDefault="00DB184B" w:rsidP="00DB184B">
      <w:pPr>
        <w:ind w:right="-376"/>
        <w:jc w:val="center"/>
        <w:rPr>
          <w:rFonts w:ascii="Arial" w:hAnsi="Arial" w:cs="Arial"/>
          <w:b/>
          <w:sz w:val="24"/>
          <w:szCs w:val="24"/>
        </w:rPr>
      </w:pPr>
    </w:p>
    <w:p w:rsidR="00DB184B" w:rsidRPr="00DB184B" w:rsidRDefault="00DB184B" w:rsidP="00DB184B">
      <w:pPr>
        <w:ind w:right="-376"/>
        <w:jc w:val="center"/>
        <w:rPr>
          <w:rFonts w:ascii="Arial" w:hAnsi="Arial" w:cs="Arial"/>
          <w:b/>
          <w:sz w:val="24"/>
          <w:szCs w:val="24"/>
        </w:rPr>
      </w:pPr>
      <w:r w:rsidRPr="00DB184B">
        <w:rPr>
          <w:rFonts w:ascii="Arial" w:hAnsi="Arial" w:cs="Arial"/>
          <w:b/>
          <w:sz w:val="24"/>
          <w:szCs w:val="24"/>
        </w:rPr>
        <w:t>CAPÍTULO 1</w:t>
      </w:r>
    </w:p>
    <w:p w:rsidR="00DB184B" w:rsidRPr="00DB184B" w:rsidRDefault="00DB184B" w:rsidP="00DB184B">
      <w:pPr>
        <w:ind w:right="-376"/>
        <w:jc w:val="center"/>
        <w:rPr>
          <w:rFonts w:ascii="Arial" w:hAnsi="Arial" w:cs="Arial"/>
          <w:b/>
          <w:sz w:val="24"/>
          <w:szCs w:val="24"/>
        </w:rPr>
      </w:pPr>
      <w:r w:rsidRPr="00DB184B">
        <w:rPr>
          <w:rFonts w:ascii="Arial" w:hAnsi="Arial" w:cs="Arial"/>
          <w:b/>
          <w:sz w:val="24"/>
          <w:szCs w:val="24"/>
        </w:rPr>
        <w:t>Objeto y ámbito de aplicación</w:t>
      </w:r>
    </w:p>
    <w:p w:rsidR="00DB184B" w:rsidRPr="00DB184B" w:rsidRDefault="00DB184B" w:rsidP="00DB184B">
      <w:pPr>
        <w:ind w:right="-376"/>
        <w:rPr>
          <w:rFonts w:ascii="Arial" w:hAnsi="Arial" w:cs="Arial"/>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
          <w:bCs/>
          <w:sz w:val="24"/>
          <w:szCs w:val="24"/>
        </w:rPr>
        <w:t xml:space="preserve">Artículo 1. </w:t>
      </w:r>
      <w:r w:rsidRPr="00DB184B">
        <w:rPr>
          <w:rFonts w:ascii="Arial" w:hAnsi="Arial" w:cs="Arial"/>
          <w:b/>
          <w:bCs/>
          <w:i/>
          <w:sz w:val="24"/>
          <w:szCs w:val="24"/>
        </w:rPr>
        <w:t>Objeto</w:t>
      </w:r>
      <w:r w:rsidRPr="00DB184B">
        <w:rPr>
          <w:rFonts w:ascii="Arial" w:hAnsi="Arial" w:cs="Arial"/>
          <w:b/>
          <w:bCs/>
          <w:sz w:val="24"/>
          <w:szCs w:val="24"/>
        </w:rPr>
        <w:t>.</w:t>
      </w:r>
      <w:r w:rsidRPr="00DB184B">
        <w:rPr>
          <w:rFonts w:ascii="Arial" w:hAnsi="Arial" w:cs="Arial"/>
          <w:bCs/>
          <w:sz w:val="24"/>
          <w:szCs w:val="24"/>
        </w:rPr>
        <w:t xml:space="preserve"> La presente resolución implementa el aplicativo de que trata el artículo 2.4.6.3.11 del Decreto 1075 de 2015, el cual se denomina “</w:t>
      </w:r>
      <w:r w:rsidRPr="00DB184B">
        <w:rPr>
          <w:rFonts w:ascii="Arial" w:hAnsi="Arial" w:cs="Arial"/>
          <w:bCs/>
          <w:i/>
          <w:sz w:val="24"/>
          <w:szCs w:val="24"/>
        </w:rPr>
        <w:t>Banco Nacional de la Excelencia</w:t>
      </w:r>
      <w:r w:rsidRPr="00DB184B">
        <w:rPr>
          <w:rFonts w:ascii="Arial" w:hAnsi="Arial" w:cs="Arial"/>
          <w:bCs/>
          <w:sz w:val="24"/>
          <w:szCs w:val="24"/>
        </w:rPr>
        <w:t xml:space="preserve">”, que forma parte del Sistema de Información Nacional de Educación Básica y Media, y establece los procedimientos y criterios para que su uso permita la provisión de vacantes definitivas de cargos docentes mediante la modalidad de nombramiento provisional en los establecimientos educativos oficiales de las entidades territoriales certificadas en educación, de conformidad con lo establecido en el Capítulo 3, Título 6, Parte 4, Libro 2 del Decreto 1075 de 2015.  </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
          <w:bCs/>
          <w:sz w:val="24"/>
          <w:szCs w:val="24"/>
        </w:rPr>
        <w:t xml:space="preserve">Artículo 2. </w:t>
      </w:r>
      <w:r w:rsidRPr="00DB184B">
        <w:rPr>
          <w:rFonts w:ascii="Arial" w:hAnsi="Arial" w:cs="Arial"/>
          <w:b/>
          <w:bCs/>
          <w:i/>
          <w:sz w:val="24"/>
          <w:szCs w:val="24"/>
        </w:rPr>
        <w:t>Ámbito de aplicación.</w:t>
      </w:r>
      <w:r w:rsidRPr="00DB184B">
        <w:rPr>
          <w:rFonts w:ascii="Arial" w:hAnsi="Arial" w:cs="Arial"/>
          <w:bCs/>
          <w:sz w:val="24"/>
          <w:szCs w:val="24"/>
        </w:rPr>
        <w:t xml:space="preserve"> Lo establecido en la presente resolución debe ser aplicado en lo que corresponda, por: i) los aspirantes a ocupar en provisionalidad un cargo docente en vacancia definitiva, ii) las entidades territoriales certificadas en educación en todos los eventos en que se deba dar cumplimiento a lo dispuesto en el numeral 6º del artículo 2.4.6.3.9 del Decreto 1075 de 2015 y iii) por el Ministerio de Educación Nacional.   </w:t>
      </w:r>
    </w:p>
    <w:p w:rsidR="00DB184B" w:rsidRPr="00DB184B" w:rsidRDefault="00DB184B" w:rsidP="00DB184B">
      <w:pPr>
        <w:jc w:val="both"/>
        <w:rPr>
          <w:rFonts w:ascii="Arial" w:hAnsi="Arial" w:cs="Arial"/>
          <w:bCs/>
          <w:sz w:val="24"/>
          <w:szCs w:val="24"/>
        </w:rPr>
      </w:pPr>
    </w:p>
    <w:p w:rsidR="00DB184B" w:rsidRPr="00DB184B" w:rsidRDefault="00DB184B" w:rsidP="00DB184B">
      <w:pPr>
        <w:ind w:right="-376"/>
        <w:jc w:val="center"/>
        <w:rPr>
          <w:rFonts w:ascii="Arial" w:hAnsi="Arial" w:cs="Arial"/>
          <w:b/>
          <w:sz w:val="24"/>
          <w:szCs w:val="24"/>
        </w:rPr>
      </w:pPr>
      <w:r w:rsidRPr="00DB184B">
        <w:rPr>
          <w:rFonts w:ascii="Arial" w:hAnsi="Arial" w:cs="Arial"/>
          <w:b/>
          <w:sz w:val="24"/>
          <w:szCs w:val="24"/>
        </w:rPr>
        <w:t>CAPÍTULO 2</w:t>
      </w:r>
    </w:p>
    <w:p w:rsidR="00DB184B" w:rsidRPr="00DB184B" w:rsidRDefault="00DB184B" w:rsidP="00DB184B">
      <w:pPr>
        <w:ind w:right="-376"/>
        <w:jc w:val="center"/>
        <w:rPr>
          <w:rFonts w:ascii="Arial" w:hAnsi="Arial" w:cs="Arial"/>
          <w:b/>
          <w:sz w:val="24"/>
          <w:szCs w:val="24"/>
        </w:rPr>
      </w:pPr>
      <w:r w:rsidRPr="00DB184B">
        <w:rPr>
          <w:rFonts w:ascii="Arial" w:hAnsi="Arial" w:cs="Arial"/>
          <w:b/>
          <w:sz w:val="24"/>
          <w:szCs w:val="24"/>
        </w:rPr>
        <w:t>Procedimiento y criterios aplicables</w:t>
      </w:r>
    </w:p>
    <w:p w:rsidR="00DB184B" w:rsidRPr="00DB184B" w:rsidRDefault="00DB184B" w:rsidP="00DB184B">
      <w:pPr>
        <w:ind w:right="-376"/>
        <w:jc w:val="center"/>
        <w:rPr>
          <w:rFonts w:ascii="Arial" w:hAnsi="Arial" w:cs="Arial"/>
          <w:b/>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
          <w:bCs/>
          <w:sz w:val="24"/>
          <w:szCs w:val="24"/>
        </w:rPr>
        <w:t xml:space="preserve">Artículo 3. </w:t>
      </w:r>
      <w:r w:rsidRPr="00DB184B">
        <w:rPr>
          <w:rFonts w:ascii="Arial" w:hAnsi="Arial" w:cs="Arial"/>
          <w:b/>
          <w:bCs/>
          <w:i/>
          <w:sz w:val="24"/>
          <w:szCs w:val="24"/>
        </w:rPr>
        <w:t>Obligación de reportar vacantes.</w:t>
      </w:r>
      <w:r w:rsidRPr="00DB184B">
        <w:rPr>
          <w:rFonts w:ascii="Arial" w:hAnsi="Arial" w:cs="Arial"/>
          <w:bCs/>
          <w:sz w:val="24"/>
          <w:szCs w:val="24"/>
        </w:rPr>
        <w:t xml:space="preserve"> Cada vez que se presente una vacante definitiva de un cargo de docente de aula o docente líder de apoyo, la respectiva entidad territorial certificada en educación deberá incluir inmediatamente la novedad en el sistema de gestión de recursos humanos y nómina, implementado en el marco del proyecto de modernización de las Secretarias de Educación, para que la misma se incorpore en el aplicativo “</w:t>
      </w:r>
      <w:r w:rsidRPr="00DB184B">
        <w:rPr>
          <w:rFonts w:ascii="Arial" w:hAnsi="Arial" w:cs="Arial"/>
          <w:bCs/>
          <w:i/>
          <w:sz w:val="24"/>
          <w:szCs w:val="24"/>
        </w:rPr>
        <w:t>Banco Nacional de la Excelencia</w:t>
      </w:r>
      <w:r w:rsidRPr="00DB184B">
        <w:rPr>
          <w:rFonts w:ascii="Arial" w:hAnsi="Arial" w:cs="Arial"/>
          <w:bCs/>
          <w:sz w:val="24"/>
          <w:szCs w:val="24"/>
        </w:rPr>
        <w:t>”.</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Cs/>
          <w:sz w:val="24"/>
          <w:szCs w:val="24"/>
        </w:rPr>
        <w:t xml:space="preserve">Las entidades territoriales certificadas en educación que no utilicen el sistema de gestión de recursos humanos y nómina deberán reportar las novedades en su planta de personal a la Subdirección de Recursos Humanos del Sector Educativo del Ministerio de Educación Nacional, mediante la modalidad que defina el propio Ministerio. </w:t>
      </w:r>
    </w:p>
    <w:p w:rsidR="00DB184B" w:rsidRPr="00DB184B" w:rsidRDefault="00DB184B" w:rsidP="00DB184B">
      <w:pPr>
        <w:ind w:firstLine="708"/>
        <w:jc w:val="both"/>
        <w:rPr>
          <w:rFonts w:ascii="Arial" w:hAnsi="Arial" w:cs="Arial"/>
          <w:bCs/>
          <w:sz w:val="24"/>
          <w:szCs w:val="24"/>
        </w:rPr>
      </w:pPr>
    </w:p>
    <w:p w:rsidR="00DB184B" w:rsidRPr="00DB184B" w:rsidRDefault="00DB184B" w:rsidP="00DB184B">
      <w:pPr>
        <w:jc w:val="both"/>
        <w:rPr>
          <w:rFonts w:ascii="Arial" w:hAnsi="Arial" w:cs="Arial"/>
          <w:b/>
          <w:bCs/>
          <w:sz w:val="24"/>
          <w:szCs w:val="24"/>
        </w:rPr>
      </w:pPr>
      <w:r w:rsidRPr="00DB184B">
        <w:rPr>
          <w:rFonts w:ascii="Arial" w:hAnsi="Arial" w:cs="Arial"/>
          <w:b/>
          <w:bCs/>
          <w:sz w:val="24"/>
          <w:szCs w:val="24"/>
        </w:rPr>
        <w:t xml:space="preserve">Artículo 4. </w:t>
      </w:r>
      <w:r w:rsidRPr="00DB184B">
        <w:rPr>
          <w:rFonts w:ascii="Arial" w:hAnsi="Arial" w:cs="Arial"/>
          <w:b/>
          <w:bCs/>
          <w:i/>
          <w:sz w:val="24"/>
          <w:szCs w:val="24"/>
        </w:rPr>
        <w:t>Inscripciones</w:t>
      </w:r>
      <w:r w:rsidRPr="00DB184B">
        <w:rPr>
          <w:rFonts w:ascii="Arial" w:hAnsi="Arial" w:cs="Arial"/>
          <w:b/>
          <w:bCs/>
          <w:sz w:val="24"/>
          <w:szCs w:val="24"/>
        </w:rPr>
        <w:t xml:space="preserve">. </w:t>
      </w:r>
      <w:r w:rsidRPr="00DB184B">
        <w:rPr>
          <w:rFonts w:ascii="Arial" w:hAnsi="Arial" w:cs="Arial"/>
          <w:bCs/>
          <w:sz w:val="24"/>
          <w:szCs w:val="24"/>
        </w:rPr>
        <w:t>Los aspirantes interesados en ser nombrados en provisionalidad como docentes en un establecimiento educativo oficial</w:t>
      </w:r>
      <w:r w:rsidRPr="00DB184B" w:rsidDel="00984A58">
        <w:rPr>
          <w:rFonts w:ascii="Arial" w:hAnsi="Arial" w:cs="Arial"/>
          <w:bCs/>
          <w:sz w:val="24"/>
          <w:szCs w:val="24"/>
        </w:rPr>
        <w:t xml:space="preserve"> </w:t>
      </w:r>
      <w:r w:rsidRPr="00DB184B">
        <w:rPr>
          <w:rFonts w:ascii="Arial" w:hAnsi="Arial" w:cs="Arial"/>
          <w:bCs/>
          <w:sz w:val="24"/>
          <w:szCs w:val="24"/>
        </w:rPr>
        <w:t>deberán inscribirse en el “</w:t>
      </w:r>
      <w:r w:rsidRPr="00DB184B">
        <w:rPr>
          <w:rFonts w:ascii="Arial" w:hAnsi="Arial" w:cs="Arial"/>
          <w:bCs/>
          <w:i/>
          <w:sz w:val="24"/>
          <w:szCs w:val="24"/>
        </w:rPr>
        <w:t>Banco Nacional de la Excelencia</w:t>
      </w:r>
      <w:r w:rsidRPr="00DB184B">
        <w:rPr>
          <w:rFonts w:ascii="Arial" w:hAnsi="Arial" w:cs="Arial"/>
          <w:bCs/>
          <w:sz w:val="24"/>
          <w:szCs w:val="24"/>
        </w:rPr>
        <w:t>”, para lo cual diligenciarán toda la información que se establezca en el aplicativo para tal fin.</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Cs/>
          <w:sz w:val="24"/>
          <w:szCs w:val="24"/>
        </w:rPr>
        <w:t>El ingreso por parte de los aspirantes al “</w:t>
      </w:r>
      <w:r w:rsidRPr="00DB184B">
        <w:rPr>
          <w:rFonts w:ascii="Arial" w:hAnsi="Arial" w:cs="Arial"/>
          <w:bCs/>
          <w:i/>
          <w:sz w:val="24"/>
          <w:szCs w:val="24"/>
        </w:rPr>
        <w:t>Banco Nacional de la Excelencia</w:t>
      </w:r>
      <w:r w:rsidRPr="00DB184B">
        <w:rPr>
          <w:rFonts w:ascii="Arial" w:hAnsi="Arial" w:cs="Arial"/>
          <w:bCs/>
          <w:sz w:val="24"/>
          <w:szCs w:val="24"/>
        </w:rPr>
        <w:t xml:space="preserve">”, deberá ser realizado a través de la dirección electrónica que disponga el Ministerio de Educación Nacional.  </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Cs/>
          <w:sz w:val="24"/>
          <w:szCs w:val="24"/>
        </w:rPr>
        <w:t>El “</w:t>
      </w:r>
      <w:r w:rsidRPr="00DB184B">
        <w:rPr>
          <w:rFonts w:ascii="Arial" w:hAnsi="Arial" w:cs="Arial"/>
          <w:bCs/>
          <w:i/>
          <w:sz w:val="24"/>
          <w:szCs w:val="24"/>
        </w:rPr>
        <w:t>Banco Nacional de la Excelencia</w:t>
      </w:r>
      <w:r w:rsidRPr="00DB184B">
        <w:rPr>
          <w:rFonts w:ascii="Arial" w:hAnsi="Arial" w:cs="Arial"/>
          <w:bCs/>
          <w:sz w:val="24"/>
          <w:szCs w:val="24"/>
        </w:rPr>
        <w:t xml:space="preserve">” permanecerá abierto para que los interesados realicen su inscripción en cualquier tiempo, sin perjuicio de que existan o no vacantes definitivas de cargos docentes en la entidad territorial certificada en educación. </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
          <w:bCs/>
          <w:sz w:val="24"/>
          <w:szCs w:val="24"/>
        </w:rPr>
        <w:t>Parágrafo.</w:t>
      </w:r>
      <w:r w:rsidRPr="00DB184B">
        <w:rPr>
          <w:rFonts w:ascii="Arial" w:hAnsi="Arial" w:cs="Arial"/>
          <w:bCs/>
          <w:sz w:val="24"/>
          <w:szCs w:val="24"/>
        </w:rPr>
        <w:t xml:space="preserve"> La exactitud y veracidad de la información consignada por el aspirante al momento de la inscripción, se entenderá suministrada bajo la gravedad de juramento y se encontrará sujeta a revisión por parte de la entidad territorial certificada en educación, en el evento en que proceda la expedición del acto administrativo de nombramiento en provisionalidad.</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
          <w:bCs/>
          <w:sz w:val="24"/>
          <w:szCs w:val="24"/>
        </w:rPr>
        <w:t xml:space="preserve">Artículo 5. </w:t>
      </w:r>
      <w:r w:rsidRPr="00DB184B">
        <w:rPr>
          <w:rFonts w:ascii="Arial" w:hAnsi="Arial" w:cs="Arial"/>
          <w:b/>
          <w:bCs/>
          <w:i/>
          <w:sz w:val="24"/>
          <w:szCs w:val="24"/>
        </w:rPr>
        <w:t>Requisitos y criterios de ponderación.</w:t>
      </w:r>
      <w:r w:rsidRPr="00DB184B">
        <w:rPr>
          <w:rFonts w:ascii="Arial" w:hAnsi="Arial" w:cs="Arial"/>
          <w:bCs/>
          <w:sz w:val="24"/>
          <w:szCs w:val="24"/>
        </w:rPr>
        <w:t xml:space="preserve">  Al momento de realizar la inscripción, los aspirantes deberán verificar que cumplen con los requisitos mínimos exigidos para el empleo de docente de aula o de docente líder de apoyo. </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Cs/>
          <w:sz w:val="24"/>
          <w:szCs w:val="24"/>
        </w:rPr>
        <w:t>Hecho lo anterior, el “</w:t>
      </w:r>
      <w:r w:rsidRPr="00DB184B">
        <w:rPr>
          <w:rFonts w:ascii="Arial" w:hAnsi="Arial" w:cs="Arial"/>
          <w:bCs/>
          <w:i/>
          <w:sz w:val="24"/>
          <w:szCs w:val="24"/>
        </w:rPr>
        <w:t>Banco Nacional de la Excelencia</w:t>
      </w:r>
      <w:r w:rsidRPr="00DB184B">
        <w:rPr>
          <w:rFonts w:ascii="Arial" w:hAnsi="Arial" w:cs="Arial"/>
          <w:bCs/>
          <w:sz w:val="24"/>
          <w:szCs w:val="24"/>
        </w:rPr>
        <w:t xml:space="preserve">” procederá a clasificar a los aspirantes inscritos, de acuerdo con los siguientes criterios: </w:t>
      </w:r>
    </w:p>
    <w:p w:rsidR="00DB184B" w:rsidRPr="00DB184B" w:rsidRDefault="00DB184B" w:rsidP="00DB184B">
      <w:pPr>
        <w:ind w:right="-376"/>
        <w:jc w:val="both"/>
        <w:rPr>
          <w:rFonts w:ascii="Arial" w:hAnsi="Arial" w:cs="Arial"/>
          <w:sz w:val="24"/>
          <w:szCs w:val="24"/>
        </w:rPr>
      </w:pPr>
    </w:p>
    <w:tbl>
      <w:tblPr>
        <w:tblpPr w:leftFromText="141" w:rightFromText="141" w:vertAnchor="text" w:horzAnchor="page" w:tblpXSpec="center" w:tblpY="123"/>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809"/>
        <w:gridCol w:w="1560"/>
      </w:tblGrid>
      <w:tr w:rsidR="00DB184B" w:rsidRPr="00DB184B" w:rsidTr="00DB184B">
        <w:trPr>
          <w:trHeight w:val="339"/>
          <w:jc w:val="center"/>
        </w:trPr>
        <w:tc>
          <w:tcPr>
            <w:tcW w:w="5670" w:type="dxa"/>
            <w:vMerge w:val="restart"/>
            <w:tcMar>
              <w:top w:w="80" w:type="nil"/>
              <w:right w:w="80" w:type="nil"/>
            </w:tcMar>
            <w:vAlign w:val="center"/>
          </w:tcPr>
          <w:p w:rsidR="00DB184B" w:rsidRPr="00DB184B" w:rsidRDefault="00DB184B" w:rsidP="00DB184B">
            <w:pPr>
              <w:widowControl w:val="0"/>
              <w:autoSpaceDE w:val="0"/>
              <w:autoSpaceDN w:val="0"/>
              <w:adjustRightInd w:val="0"/>
              <w:ind w:right="-376"/>
              <w:jc w:val="center"/>
              <w:rPr>
                <w:rFonts w:ascii="Arial" w:eastAsia="Cambria" w:hAnsi="Arial" w:cs="Arial"/>
                <w:b/>
                <w:sz w:val="24"/>
                <w:szCs w:val="24"/>
                <w:lang w:eastAsia="en-US"/>
              </w:rPr>
            </w:pPr>
            <w:r w:rsidRPr="00DB184B">
              <w:rPr>
                <w:rFonts w:ascii="Arial" w:eastAsia="Cambria" w:hAnsi="Arial" w:cs="Arial"/>
                <w:b/>
                <w:sz w:val="24"/>
                <w:szCs w:val="24"/>
                <w:lang w:eastAsia="en-US"/>
              </w:rPr>
              <w:t>Criterios</w:t>
            </w:r>
          </w:p>
        </w:tc>
        <w:tc>
          <w:tcPr>
            <w:tcW w:w="3369" w:type="dxa"/>
            <w:gridSpan w:val="2"/>
            <w:tcMar>
              <w:top w:w="80" w:type="nil"/>
              <w:right w:w="80" w:type="nil"/>
            </w:tcMar>
            <w:vAlign w:val="center"/>
          </w:tcPr>
          <w:p w:rsidR="00DB184B" w:rsidRPr="00DB184B" w:rsidRDefault="00DB184B" w:rsidP="00DB184B">
            <w:pPr>
              <w:widowControl w:val="0"/>
              <w:autoSpaceDE w:val="0"/>
              <w:autoSpaceDN w:val="0"/>
              <w:adjustRightInd w:val="0"/>
              <w:ind w:right="-376"/>
              <w:jc w:val="center"/>
              <w:rPr>
                <w:rFonts w:ascii="Arial" w:eastAsia="Cambria" w:hAnsi="Arial" w:cs="Arial"/>
                <w:b/>
                <w:bCs/>
                <w:sz w:val="24"/>
                <w:szCs w:val="24"/>
                <w:lang w:eastAsia="en-US"/>
              </w:rPr>
            </w:pPr>
            <w:r w:rsidRPr="00DB184B">
              <w:rPr>
                <w:rFonts w:ascii="Arial" w:eastAsia="Cambria" w:hAnsi="Arial" w:cs="Arial"/>
                <w:b/>
                <w:bCs/>
                <w:sz w:val="24"/>
                <w:szCs w:val="24"/>
                <w:lang w:eastAsia="en-US"/>
              </w:rPr>
              <w:t>Puntaje</w:t>
            </w:r>
          </w:p>
        </w:tc>
      </w:tr>
      <w:tr w:rsidR="00DB184B" w:rsidRPr="00DB184B" w:rsidTr="00DB184B">
        <w:trPr>
          <w:trHeight w:val="339"/>
          <w:jc w:val="center"/>
        </w:trPr>
        <w:tc>
          <w:tcPr>
            <w:tcW w:w="5670" w:type="dxa"/>
            <w:vMerge/>
            <w:tcMar>
              <w:top w:w="80" w:type="nil"/>
              <w:right w:w="80" w:type="nil"/>
            </w:tcMar>
            <w:vAlign w:val="bottom"/>
          </w:tcPr>
          <w:p w:rsidR="00DB184B" w:rsidRPr="00DB184B" w:rsidRDefault="00DB184B" w:rsidP="00DB184B">
            <w:pPr>
              <w:widowControl w:val="0"/>
              <w:autoSpaceDE w:val="0"/>
              <w:autoSpaceDN w:val="0"/>
              <w:adjustRightInd w:val="0"/>
              <w:ind w:right="-376"/>
              <w:rPr>
                <w:rFonts w:ascii="Arial" w:eastAsia="Cambria" w:hAnsi="Arial" w:cs="Arial"/>
                <w:sz w:val="24"/>
                <w:szCs w:val="24"/>
                <w:lang w:eastAsia="en-US"/>
              </w:rPr>
            </w:pPr>
          </w:p>
        </w:tc>
        <w:tc>
          <w:tcPr>
            <w:tcW w:w="1809" w:type="dxa"/>
            <w:tcMar>
              <w:top w:w="80" w:type="nil"/>
              <w:right w:w="80" w:type="nil"/>
            </w:tcMar>
            <w:vAlign w:val="center"/>
          </w:tcPr>
          <w:p w:rsidR="00DB184B" w:rsidRPr="00DB184B" w:rsidRDefault="00DB184B" w:rsidP="00DB184B">
            <w:pPr>
              <w:widowControl w:val="0"/>
              <w:autoSpaceDE w:val="0"/>
              <w:autoSpaceDN w:val="0"/>
              <w:adjustRightInd w:val="0"/>
              <w:jc w:val="center"/>
              <w:rPr>
                <w:rFonts w:ascii="Arial" w:eastAsia="Cambria" w:hAnsi="Arial" w:cs="Arial"/>
                <w:b/>
                <w:sz w:val="24"/>
                <w:szCs w:val="24"/>
                <w:lang w:eastAsia="en-US"/>
              </w:rPr>
            </w:pPr>
            <w:r w:rsidRPr="00DB184B">
              <w:rPr>
                <w:rFonts w:ascii="Arial" w:eastAsia="Cambria" w:hAnsi="Arial" w:cs="Arial"/>
                <w:b/>
                <w:sz w:val="24"/>
                <w:szCs w:val="24"/>
                <w:lang w:eastAsia="en-US"/>
              </w:rPr>
              <w:t>Valor</w:t>
            </w:r>
          </w:p>
        </w:tc>
        <w:tc>
          <w:tcPr>
            <w:tcW w:w="1560" w:type="dxa"/>
            <w:tcMar>
              <w:top w:w="80" w:type="nil"/>
              <w:right w:w="80" w:type="nil"/>
            </w:tcMar>
            <w:vAlign w:val="center"/>
          </w:tcPr>
          <w:p w:rsidR="00DB184B" w:rsidRPr="00DB184B" w:rsidRDefault="00DB184B" w:rsidP="00DB184B">
            <w:pPr>
              <w:widowControl w:val="0"/>
              <w:autoSpaceDE w:val="0"/>
              <w:autoSpaceDN w:val="0"/>
              <w:adjustRightInd w:val="0"/>
              <w:jc w:val="center"/>
              <w:rPr>
                <w:rFonts w:ascii="Arial" w:eastAsia="Cambria" w:hAnsi="Arial" w:cs="Arial"/>
                <w:b/>
                <w:bCs/>
                <w:sz w:val="24"/>
                <w:szCs w:val="24"/>
                <w:lang w:eastAsia="en-US"/>
              </w:rPr>
            </w:pPr>
            <w:r w:rsidRPr="00DB184B">
              <w:rPr>
                <w:rFonts w:ascii="Arial" w:eastAsia="Cambria" w:hAnsi="Arial" w:cs="Arial"/>
                <w:b/>
                <w:bCs/>
                <w:sz w:val="24"/>
                <w:szCs w:val="24"/>
                <w:lang w:eastAsia="en-US"/>
              </w:rPr>
              <w:t>Máximo</w:t>
            </w:r>
          </w:p>
        </w:tc>
      </w:tr>
      <w:tr w:rsidR="00DB184B" w:rsidRPr="00DB184B" w:rsidTr="00DB184B">
        <w:trPr>
          <w:trHeight w:val="339"/>
          <w:jc w:val="center"/>
        </w:trPr>
        <w:tc>
          <w:tcPr>
            <w:tcW w:w="5670" w:type="dxa"/>
            <w:tcMar>
              <w:top w:w="80" w:type="nil"/>
              <w:right w:w="80" w:type="nil"/>
            </w:tcMar>
            <w:vAlign w:val="bottom"/>
          </w:tcPr>
          <w:p w:rsidR="00DB184B" w:rsidRPr="00DB184B" w:rsidRDefault="00DB184B" w:rsidP="00DB184B">
            <w:pPr>
              <w:widowControl w:val="0"/>
              <w:autoSpaceDE w:val="0"/>
              <w:autoSpaceDN w:val="0"/>
              <w:adjustRightInd w:val="0"/>
              <w:ind w:right="-376"/>
              <w:rPr>
                <w:rFonts w:ascii="Arial" w:eastAsia="Cambria" w:hAnsi="Arial" w:cs="Arial"/>
                <w:sz w:val="24"/>
                <w:szCs w:val="24"/>
                <w:lang w:eastAsia="en-US"/>
              </w:rPr>
            </w:pPr>
            <w:r w:rsidRPr="00DB184B">
              <w:rPr>
                <w:rFonts w:ascii="Arial" w:eastAsia="Cambria" w:hAnsi="Arial" w:cs="Arial"/>
                <w:sz w:val="24"/>
                <w:szCs w:val="24"/>
                <w:lang w:eastAsia="en-US"/>
              </w:rPr>
              <w:t>Educación formal mínima</w:t>
            </w:r>
          </w:p>
        </w:tc>
        <w:tc>
          <w:tcPr>
            <w:tcW w:w="1809" w:type="dxa"/>
            <w:tcMar>
              <w:top w:w="80" w:type="nil"/>
              <w:right w:w="80" w:type="nil"/>
            </w:tcMar>
            <w:vAlign w:val="center"/>
          </w:tcPr>
          <w:p w:rsidR="00DB184B" w:rsidRPr="00DB184B" w:rsidRDefault="00DB184B" w:rsidP="00DB184B">
            <w:pPr>
              <w:widowControl w:val="0"/>
              <w:autoSpaceDE w:val="0"/>
              <w:autoSpaceDN w:val="0"/>
              <w:adjustRightInd w:val="0"/>
              <w:ind w:left="-425" w:right="-376"/>
              <w:jc w:val="center"/>
              <w:rPr>
                <w:rFonts w:ascii="Arial" w:eastAsia="Cambria" w:hAnsi="Arial" w:cs="Arial"/>
                <w:sz w:val="24"/>
                <w:szCs w:val="24"/>
                <w:lang w:eastAsia="en-US"/>
              </w:rPr>
            </w:pPr>
            <w:r w:rsidRPr="00DB184B">
              <w:rPr>
                <w:rFonts w:ascii="Arial" w:eastAsia="Cambria" w:hAnsi="Arial" w:cs="Arial"/>
                <w:bCs/>
                <w:sz w:val="24"/>
                <w:szCs w:val="24"/>
                <w:lang w:eastAsia="en-US"/>
              </w:rPr>
              <w:t>10</w:t>
            </w:r>
          </w:p>
        </w:tc>
        <w:tc>
          <w:tcPr>
            <w:tcW w:w="1560" w:type="dxa"/>
            <w:tcMar>
              <w:top w:w="80" w:type="nil"/>
              <w:right w:w="80" w:type="nil"/>
            </w:tcMar>
            <w:vAlign w:val="center"/>
          </w:tcPr>
          <w:p w:rsidR="00DB184B" w:rsidRPr="00DB184B" w:rsidRDefault="00DB184B" w:rsidP="00DB184B">
            <w:pPr>
              <w:widowControl w:val="0"/>
              <w:autoSpaceDE w:val="0"/>
              <w:autoSpaceDN w:val="0"/>
              <w:adjustRightInd w:val="0"/>
              <w:ind w:left="-391" w:right="-376"/>
              <w:jc w:val="center"/>
              <w:rPr>
                <w:rFonts w:ascii="Arial" w:eastAsia="Cambria" w:hAnsi="Arial" w:cs="Arial"/>
                <w:sz w:val="24"/>
                <w:szCs w:val="24"/>
                <w:lang w:eastAsia="en-US"/>
              </w:rPr>
            </w:pPr>
            <w:r w:rsidRPr="00DB184B">
              <w:rPr>
                <w:rFonts w:ascii="Arial" w:eastAsia="Cambria" w:hAnsi="Arial" w:cs="Arial"/>
                <w:b/>
                <w:bCs/>
                <w:sz w:val="24"/>
                <w:szCs w:val="24"/>
                <w:lang w:eastAsia="en-US"/>
              </w:rPr>
              <w:t>10</w:t>
            </w:r>
          </w:p>
        </w:tc>
      </w:tr>
      <w:tr w:rsidR="00DB184B" w:rsidRPr="00DB184B" w:rsidTr="00DB184B">
        <w:trPr>
          <w:trHeight w:val="546"/>
          <w:jc w:val="center"/>
        </w:trPr>
        <w:tc>
          <w:tcPr>
            <w:tcW w:w="5670" w:type="dxa"/>
            <w:tcMar>
              <w:top w:w="80" w:type="nil"/>
              <w:right w:w="80" w:type="nil"/>
            </w:tcMar>
            <w:vAlign w:val="bottom"/>
          </w:tcPr>
          <w:p w:rsidR="00DB184B" w:rsidRPr="00DB184B" w:rsidRDefault="00DB184B" w:rsidP="00DB184B">
            <w:pPr>
              <w:widowControl w:val="0"/>
              <w:autoSpaceDE w:val="0"/>
              <w:autoSpaceDN w:val="0"/>
              <w:adjustRightInd w:val="0"/>
              <w:ind w:right="-376"/>
              <w:rPr>
                <w:rFonts w:ascii="Arial" w:eastAsia="Cambria" w:hAnsi="Arial" w:cs="Arial"/>
                <w:sz w:val="24"/>
                <w:szCs w:val="24"/>
                <w:lang w:eastAsia="en-US"/>
              </w:rPr>
            </w:pPr>
            <w:r w:rsidRPr="00DB184B">
              <w:rPr>
                <w:rFonts w:ascii="Arial" w:eastAsia="Cambria" w:hAnsi="Arial" w:cs="Arial"/>
                <w:sz w:val="24"/>
                <w:szCs w:val="24"/>
                <w:lang w:eastAsia="en-US"/>
              </w:rPr>
              <w:t xml:space="preserve">Programas acreditados en alta calidad </w:t>
            </w:r>
          </w:p>
        </w:tc>
        <w:tc>
          <w:tcPr>
            <w:tcW w:w="1809" w:type="dxa"/>
            <w:tcMar>
              <w:top w:w="80" w:type="nil"/>
              <w:right w:w="80" w:type="nil"/>
            </w:tcMar>
            <w:vAlign w:val="center"/>
          </w:tcPr>
          <w:p w:rsidR="00DB184B" w:rsidRPr="00DB184B" w:rsidRDefault="00DB184B" w:rsidP="00DB184B">
            <w:pPr>
              <w:widowControl w:val="0"/>
              <w:autoSpaceDE w:val="0"/>
              <w:autoSpaceDN w:val="0"/>
              <w:adjustRightInd w:val="0"/>
              <w:ind w:left="-425" w:right="-376"/>
              <w:jc w:val="center"/>
              <w:rPr>
                <w:rFonts w:ascii="Arial" w:eastAsia="Cambria" w:hAnsi="Arial" w:cs="Arial"/>
                <w:sz w:val="24"/>
                <w:szCs w:val="24"/>
                <w:lang w:eastAsia="en-US"/>
              </w:rPr>
            </w:pPr>
            <w:r w:rsidRPr="00DB184B">
              <w:rPr>
                <w:rFonts w:ascii="Arial" w:eastAsia="Cambria" w:hAnsi="Arial" w:cs="Arial"/>
                <w:bCs/>
                <w:sz w:val="24"/>
                <w:szCs w:val="24"/>
                <w:lang w:eastAsia="en-US"/>
              </w:rPr>
              <w:t>5</w:t>
            </w:r>
          </w:p>
        </w:tc>
        <w:tc>
          <w:tcPr>
            <w:tcW w:w="1560" w:type="dxa"/>
            <w:tcMar>
              <w:top w:w="80" w:type="nil"/>
              <w:right w:w="80" w:type="nil"/>
            </w:tcMar>
            <w:vAlign w:val="center"/>
          </w:tcPr>
          <w:p w:rsidR="00DB184B" w:rsidRPr="00DB184B" w:rsidRDefault="00DB184B" w:rsidP="00DB184B">
            <w:pPr>
              <w:widowControl w:val="0"/>
              <w:autoSpaceDE w:val="0"/>
              <w:autoSpaceDN w:val="0"/>
              <w:adjustRightInd w:val="0"/>
              <w:ind w:left="-391" w:right="-376"/>
              <w:jc w:val="center"/>
              <w:rPr>
                <w:rFonts w:ascii="Arial" w:eastAsia="Cambria" w:hAnsi="Arial" w:cs="Arial"/>
                <w:sz w:val="24"/>
                <w:szCs w:val="24"/>
                <w:lang w:eastAsia="en-US"/>
              </w:rPr>
            </w:pPr>
            <w:r w:rsidRPr="00DB184B">
              <w:rPr>
                <w:rFonts w:ascii="Arial" w:eastAsia="Cambria" w:hAnsi="Arial" w:cs="Arial"/>
                <w:b/>
                <w:bCs/>
                <w:sz w:val="24"/>
                <w:szCs w:val="24"/>
                <w:lang w:eastAsia="en-US"/>
              </w:rPr>
              <w:t>5</w:t>
            </w:r>
          </w:p>
        </w:tc>
      </w:tr>
      <w:tr w:rsidR="00DB184B" w:rsidRPr="00DB184B" w:rsidTr="00DB184B">
        <w:trPr>
          <w:trHeight w:val="413"/>
          <w:jc w:val="center"/>
        </w:trPr>
        <w:tc>
          <w:tcPr>
            <w:tcW w:w="5670" w:type="dxa"/>
            <w:tcMar>
              <w:top w:w="80" w:type="nil"/>
              <w:right w:w="80" w:type="nil"/>
            </w:tcMar>
            <w:vAlign w:val="bottom"/>
          </w:tcPr>
          <w:p w:rsidR="00DB184B" w:rsidRPr="00DB184B" w:rsidRDefault="00DB184B" w:rsidP="00DB184B">
            <w:pPr>
              <w:widowControl w:val="0"/>
              <w:autoSpaceDE w:val="0"/>
              <w:autoSpaceDN w:val="0"/>
              <w:adjustRightInd w:val="0"/>
              <w:ind w:right="-376"/>
              <w:rPr>
                <w:rFonts w:ascii="Arial" w:eastAsia="Cambria" w:hAnsi="Arial" w:cs="Arial"/>
                <w:sz w:val="24"/>
                <w:szCs w:val="24"/>
                <w:lang w:eastAsia="en-US"/>
              </w:rPr>
            </w:pPr>
            <w:r w:rsidRPr="00DB184B">
              <w:rPr>
                <w:rFonts w:ascii="Arial" w:eastAsia="Cambria" w:hAnsi="Arial" w:cs="Arial"/>
                <w:sz w:val="24"/>
                <w:szCs w:val="24"/>
                <w:lang w:eastAsia="en-US"/>
              </w:rPr>
              <w:t>Una especialización</w:t>
            </w:r>
          </w:p>
        </w:tc>
        <w:tc>
          <w:tcPr>
            <w:tcW w:w="1809" w:type="dxa"/>
            <w:tcMar>
              <w:top w:w="80" w:type="nil"/>
              <w:right w:w="80" w:type="nil"/>
            </w:tcMar>
            <w:vAlign w:val="center"/>
          </w:tcPr>
          <w:p w:rsidR="00DB184B" w:rsidRPr="00DB184B" w:rsidRDefault="00DB184B" w:rsidP="00DB184B">
            <w:pPr>
              <w:widowControl w:val="0"/>
              <w:autoSpaceDE w:val="0"/>
              <w:autoSpaceDN w:val="0"/>
              <w:adjustRightInd w:val="0"/>
              <w:ind w:left="-425" w:right="-376"/>
              <w:jc w:val="center"/>
              <w:rPr>
                <w:rFonts w:ascii="Arial" w:eastAsia="Cambria" w:hAnsi="Arial" w:cs="Arial"/>
                <w:sz w:val="24"/>
                <w:szCs w:val="24"/>
                <w:lang w:eastAsia="en-US"/>
              </w:rPr>
            </w:pPr>
          </w:p>
          <w:p w:rsidR="00DB184B" w:rsidRPr="00DB184B" w:rsidRDefault="00DB184B" w:rsidP="00DB184B">
            <w:pPr>
              <w:widowControl w:val="0"/>
              <w:autoSpaceDE w:val="0"/>
              <w:autoSpaceDN w:val="0"/>
              <w:adjustRightInd w:val="0"/>
              <w:ind w:left="-425" w:right="-376"/>
              <w:jc w:val="center"/>
              <w:rPr>
                <w:rFonts w:ascii="Arial" w:eastAsia="Cambria" w:hAnsi="Arial" w:cs="Arial"/>
                <w:sz w:val="24"/>
                <w:szCs w:val="24"/>
                <w:lang w:eastAsia="en-US"/>
              </w:rPr>
            </w:pPr>
            <w:r w:rsidRPr="00DB184B">
              <w:rPr>
                <w:rFonts w:ascii="Arial" w:eastAsia="Cambria" w:hAnsi="Arial" w:cs="Arial"/>
                <w:bCs/>
                <w:sz w:val="24"/>
                <w:szCs w:val="24"/>
                <w:lang w:eastAsia="en-US"/>
              </w:rPr>
              <w:t>15</w:t>
            </w:r>
          </w:p>
        </w:tc>
        <w:tc>
          <w:tcPr>
            <w:tcW w:w="1560" w:type="dxa"/>
            <w:tcMar>
              <w:top w:w="80" w:type="nil"/>
              <w:right w:w="80" w:type="nil"/>
            </w:tcMar>
            <w:vAlign w:val="center"/>
          </w:tcPr>
          <w:p w:rsidR="00DB184B" w:rsidRPr="00DB184B" w:rsidRDefault="00DB184B" w:rsidP="00DB184B">
            <w:pPr>
              <w:widowControl w:val="0"/>
              <w:autoSpaceDE w:val="0"/>
              <w:autoSpaceDN w:val="0"/>
              <w:adjustRightInd w:val="0"/>
              <w:ind w:left="-391" w:right="-376"/>
              <w:jc w:val="center"/>
              <w:rPr>
                <w:rFonts w:ascii="Arial" w:eastAsia="Cambria" w:hAnsi="Arial" w:cs="Arial"/>
                <w:sz w:val="24"/>
                <w:szCs w:val="24"/>
                <w:lang w:eastAsia="en-US"/>
              </w:rPr>
            </w:pPr>
          </w:p>
          <w:p w:rsidR="00DB184B" w:rsidRPr="00DB184B" w:rsidRDefault="00DB184B" w:rsidP="00DB184B">
            <w:pPr>
              <w:widowControl w:val="0"/>
              <w:autoSpaceDE w:val="0"/>
              <w:autoSpaceDN w:val="0"/>
              <w:adjustRightInd w:val="0"/>
              <w:ind w:left="-391" w:right="-376"/>
              <w:jc w:val="center"/>
              <w:rPr>
                <w:rFonts w:ascii="Arial" w:eastAsia="Cambria" w:hAnsi="Arial" w:cs="Arial"/>
                <w:sz w:val="24"/>
                <w:szCs w:val="24"/>
                <w:lang w:eastAsia="en-US"/>
              </w:rPr>
            </w:pPr>
            <w:r w:rsidRPr="00DB184B">
              <w:rPr>
                <w:rFonts w:ascii="Arial" w:eastAsia="Cambria" w:hAnsi="Arial" w:cs="Arial"/>
                <w:b/>
                <w:bCs/>
                <w:sz w:val="24"/>
                <w:szCs w:val="24"/>
                <w:lang w:eastAsia="en-US"/>
              </w:rPr>
              <w:t>40</w:t>
            </w:r>
          </w:p>
        </w:tc>
      </w:tr>
      <w:tr w:rsidR="00DB184B" w:rsidRPr="00DB184B" w:rsidTr="00DB184B">
        <w:trPr>
          <w:trHeight w:val="406"/>
          <w:jc w:val="center"/>
        </w:trPr>
        <w:tc>
          <w:tcPr>
            <w:tcW w:w="5670" w:type="dxa"/>
            <w:tcMar>
              <w:top w:w="80" w:type="nil"/>
              <w:right w:w="80" w:type="nil"/>
            </w:tcMar>
            <w:vAlign w:val="bottom"/>
          </w:tcPr>
          <w:p w:rsidR="00DB184B" w:rsidRPr="00DB184B" w:rsidRDefault="00DB184B" w:rsidP="00DB184B">
            <w:pPr>
              <w:widowControl w:val="0"/>
              <w:autoSpaceDE w:val="0"/>
              <w:autoSpaceDN w:val="0"/>
              <w:adjustRightInd w:val="0"/>
              <w:ind w:right="-376"/>
              <w:rPr>
                <w:rFonts w:ascii="Arial" w:eastAsia="Cambria" w:hAnsi="Arial" w:cs="Arial"/>
                <w:sz w:val="24"/>
                <w:szCs w:val="24"/>
                <w:lang w:eastAsia="en-US"/>
              </w:rPr>
            </w:pPr>
            <w:r w:rsidRPr="00DB184B">
              <w:rPr>
                <w:rFonts w:ascii="Arial" w:eastAsia="Cambria" w:hAnsi="Arial" w:cs="Arial"/>
                <w:sz w:val="24"/>
                <w:szCs w:val="24"/>
                <w:lang w:eastAsia="en-US"/>
              </w:rPr>
              <w:t>Una Maestría o doctorado</w:t>
            </w:r>
          </w:p>
        </w:tc>
        <w:tc>
          <w:tcPr>
            <w:tcW w:w="1809" w:type="dxa"/>
            <w:tcMar>
              <w:top w:w="80" w:type="nil"/>
              <w:right w:w="80" w:type="nil"/>
            </w:tcMar>
            <w:vAlign w:val="center"/>
          </w:tcPr>
          <w:p w:rsidR="00DB184B" w:rsidRPr="00DB184B" w:rsidRDefault="00DB184B" w:rsidP="00DB184B">
            <w:pPr>
              <w:widowControl w:val="0"/>
              <w:autoSpaceDE w:val="0"/>
              <w:autoSpaceDN w:val="0"/>
              <w:adjustRightInd w:val="0"/>
              <w:ind w:left="-425" w:right="-376"/>
              <w:jc w:val="center"/>
              <w:rPr>
                <w:rFonts w:ascii="Arial" w:eastAsia="Cambria" w:hAnsi="Arial" w:cs="Arial"/>
                <w:sz w:val="24"/>
                <w:szCs w:val="24"/>
                <w:lang w:eastAsia="en-US"/>
              </w:rPr>
            </w:pPr>
            <w:r w:rsidRPr="00DB184B">
              <w:rPr>
                <w:rFonts w:ascii="Arial" w:eastAsia="Cambria" w:hAnsi="Arial" w:cs="Arial"/>
                <w:sz w:val="24"/>
                <w:szCs w:val="24"/>
                <w:lang w:eastAsia="en-US"/>
              </w:rPr>
              <w:t>40</w:t>
            </w:r>
          </w:p>
        </w:tc>
        <w:tc>
          <w:tcPr>
            <w:tcW w:w="1560" w:type="dxa"/>
            <w:tcMar>
              <w:top w:w="80" w:type="nil"/>
              <w:right w:w="80" w:type="nil"/>
            </w:tcMar>
            <w:vAlign w:val="center"/>
          </w:tcPr>
          <w:p w:rsidR="00DB184B" w:rsidRPr="00DB184B" w:rsidRDefault="00DB184B" w:rsidP="00DB184B">
            <w:pPr>
              <w:widowControl w:val="0"/>
              <w:autoSpaceDE w:val="0"/>
              <w:autoSpaceDN w:val="0"/>
              <w:adjustRightInd w:val="0"/>
              <w:ind w:left="-391" w:right="-376"/>
              <w:jc w:val="center"/>
              <w:rPr>
                <w:rFonts w:ascii="Arial" w:eastAsia="Cambria" w:hAnsi="Arial" w:cs="Arial"/>
                <w:sz w:val="24"/>
                <w:szCs w:val="24"/>
                <w:lang w:eastAsia="en-US"/>
              </w:rPr>
            </w:pPr>
          </w:p>
        </w:tc>
      </w:tr>
      <w:tr w:rsidR="00DB184B" w:rsidRPr="00DB184B" w:rsidTr="00DB184B">
        <w:trPr>
          <w:trHeight w:val="339"/>
          <w:jc w:val="center"/>
        </w:trPr>
        <w:tc>
          <w:tcPr>
            <w:tcW w:w="5670" w:type="dxa"/>
            <w:tcMar>
              <w:top w:w="80" w:type="nil"/>
              <w:right w:w="80" w:type="nil"/>
            </w:tcMar>
            <w:vAlign w:val="bottom"/>
          </w:tcPr>
          <w:p w:rsidR="00DB184B" w:rsidRPr="00DB184B" w:rsidRDefault="00DB184B" w:rsidP="00DB184B">
            <w:pPr>
              <w:widowControl w:val="0"/>
              <w:autoSpaceDE w:val="0"/>
              <w:autoSpaceDN w:val="0"/>
              <w:adjustRightInd w:val="0"/>
              <w:ind w:right="-376"/>
              <w:rPr>
                <w:rFonts w:ascii="Arial" w:eastAsia="Cambria" w:hAnsi="Arial" w:cs="Arial"/>
                <w:sz w:val="24"/>
                <w:szCs w:val="24"/>
                <w:lang w:eastAsia="en-US"/>
              </w:rPr>
            </w:pPr>
            <w:r w:rsidRPr="00DB184B">
              <w:rPr>
                <w:rFonts w:ascii="Arial" w:eastAsia="Cambria" w:hAnsi="Arial" w:cs="Arial"/>
                <w:sz w:val="24"/>
                <w:szCs w:val="24"/>
                <w:lang w:eastAsia="en-US"/>
              </w:rPr>
              <w:t>Experiencia Docente (4 puntos por año de experiencia)</w:t>
            </w:r>
          </w:p>
        </w:tc>
        <w:tc>
          <w:tcPr>
            <w:tcW w:w="1809" w:type="dxa"/>
            <w:tcMar>
              <w:top w:w="80" w:type="nil"/>
              <w:right w:w="80" w:type="nil"/>
            </w:tcMar>
            <w:vAlign w:val="center"/>
          </w:tcPr>
          <w:p w:rsidR="00DB184B" w:rsidRPr="00DB184B" w:rsidRDefault="00DB184B" w:rsidP="00DB184B">
            <w:pPr>
              <w:widowControl w:val="0"/>
              <w:autoSpaceDE w:val="0"/>
              <w:autoSpaceDN w:val="0"/>
              <w:adjustRightInd w:val="0"/>
              <w:ind w:left="-425" w:right="-376"/>
              <w:jc w:val="center"/>
              <w:rPr>
                <w:rFonts w:ascii="Arial" w:eastAsia="Cambria" w:hAnsi="Arial" w:cs="Arial"/>
                <w:sz w:val="24"/>
                <w:szCs w:val="24"/>
                <w:lang w:eastAsia="en-US"/>
              </w:rPr>
            </w:pPr>
            <w:r w:rsidRPr="00DB184B">
              <w:rPr>
                <w:rFonts w:ascii="Arial" w:eastAsia="Cambria" w:hAnsi="Arial" w:cs="Arial"/>
                <w:bCs/>
                <w:sz w:val="24"/>
                <w:szCs w:val="24"/>
                <w:lang w:eastAsia="en-US"/>
              </w:rPr>
              <w:t>4</w:t>
            </w:r>
          </w:p>
        </w:tc>
        <w:tc>
          <w:tcPr>
            <w:tcW w:w="1560" w:type="dxa"/>
            <w:tcMar>
              <w:top w:w="80" w:type="nil"/>
              <w:right w:w="80" w:type="nil"/>
            </w:tcMar>
            <w:vAlign w:val="center"/>
          </w:tcPr>
          <w:p w:rsidR="00DB184B" w:rsidRPr="00DB184B" w:rsidRDefault="00DB184B" w:rsidP="00DB184B">
            <w:pPr>
              <w:widowControl w:val="0"/>
              <w:autoSpaceDE w:val="0"/>
              <w:autoSpaceDN w:val="0"/>
              <w:adjustRightInd w:val="0"/>
              <w:ind w:left="-391" w:right="-376"/>
              <w:jc w:val="center"/>
              <w:rPr>
                <w:rFonts w:ascii="Arial" w:eastAsia="Cambria" w:hAnsi="Arial" w:cs="Arial"/>
                <w:sz w:val="24"/>
                <w:szCs w:val="24"/>
                <w:lang w:eastAsia="en-US"/>
              </w:rPr>
            </w:pPr>
            <w:r w:rsidRPr="00DB184B">
              <w:rPr>
                <w:rFonts w:ascii="Arial" w:eastAsia="Cambria" w:hAnsi="Arial" w:cs="Arial"/>
                <w:b/>
                <w:bCs/>
                <w:sz w:val="24"/>
                <w:szCs w:val="24"/>
                <w:lang w:eastAsia="en-US"/>
              </w:rPr>
              <w:t>20</w:t>
            </w:r>
          </w:p>
        </w:tc>
      </w:tr>
      <w:tr w:rsidR="00DB184B" w:rsidRPr="00DB184B" w:rsidTr="00DB184B">
        <w:trPr>
          <w:trHeight w:val="322"/>
          <w:jc w:val="center"/>
        </w:trPr>
        <w:tc>
          <w:tcPr>
            <w:tcW w:w="5670" w:type="dxa"/>
            <w:tcMar>
              <w:top w:w="80" w:type="nil"/>
              <w:right w:w="80" w:type="nil"/>
            </w:tcMar>
            <w:vAlign w:val="bottom"/>
          </w:tcPr>
          <w:p w:rsidR="00DB184B" w:rsidRPr="00DB184B" w:rsidRDefault="00DB184B" w:rsidP="00DB184B">
            <w:pPr>
              <w:widowControl w:val="0"/>
              <w:autoSpaceDE w:val="0"/>
              <w:autoSpaceDN w:val="0"/>
              <w:adjustRightInd w:val="0"/>
              <w:ind w:right="-376"/>
              <w:rPr>
                <w:rFonts w:ascii="Arial" w:eastAsia="Cambria" w:hAnsi="Arial" w:cs="Arial"/>
                <w:sz w:val="24"/>
                <w:szCs w:val="24"/>
                <w:lang w:eastAsia="en-US"/>
              </w:rPr>
            </w:pPr>
            <w:r w:rsidRPr="00DB184B">
              <w:rPr>
                <w:rFonts w:ascii="Arial" w:eastAsia="Cambria" w:hAnsi="Arial" w:cs="Arial"/>
                <w:sz w:val="24"/>
                <w:szCs w:val="24"/>
                <w:lang w:eastAsia="en-US"/>
              </w:rPr>
              <w:t>Quintiles Superiores Saber Pro</w:t>
            </w:r>
          </w:p>
        </w:tc>
        <w:tc>
          <w:tcPr>
            <w:tcW w:w="1809" w:type="dxa"/>
            <w:tcMar>
              <w:top w:w="80" w:type="nil"/>
              <w:right w:w="80" w:type="nil"/>
            </w:tcMar>
            <w:vAlign w:val="center"/>
          </w:tcPr>
          <w:p w:rsidR="00DB184B" w:rsidRPr="00DB184B" w:rsidRDefault="00DB184B" w:rsidP="00DB184B">
            <w:pPr>
              <w:widowControl w:val="0"/>
              <w:autoSpaceDE w:val="0"/>
              <w:autoSpaceDN w:val="0"/>
              <w:adjustRightInd w:val="0"/>
              <w:ind w:left="-425" w:right="-376"/>
              <w:jc w:val="center"/>
              <w:rPr>
                <w:rFonts w:ascii="Arial" w:eastAsia="Cambria" w:hAnsi="Arial" w:cs="Arial"/>
                <w:sz w:val="24"/>
                <w:szCs w:val="24"/>
                <w:lang w:eastAsia="en-US"/>
              </w:rPr>
            </w:pPr>
            <w:r w:rsidRPr="00DB184B">
              <w:rPr>
                <w:rFonts w:ascii="Arial" w:eastAsia="Cambria" w:hAnsi="Arial" w:cs="Arial"/>
                <w:bCs/>
                <w:sz w:val="24"/>
                <w:szCs w:val="24"/>
                <w:lang w:eastAsia="en-US"/>
              </w:rPr>
              <w:t>25</w:t>
            </w:r>
          </w:p>
        </w:tc>
        <w:tc>
          <w:tcPr>
            <w:tcW w:w="1560" w:type="dxa"/>
            <w:tcMar>
              <w:top w:w="80" w:type="nil"/>
              <w:right w:w="80" w:type="nil"/>
            </w:tcMar>
            <w:vAlign w:val="center"/>
          </w:tcPr>
          <w:p w:rsidR="00DB184B" w:rsidRPr="00DB184B" w:rsidRDefault="00DB184B" w:rsidP="00DB184B">
            <w:pPr>
              <w:widowControl w:val="0"/>
              <w:autoSpaceDE w:val="0"/>
              <w:autoSpaceDN w:val="0"/>
              <w:adjustRightInd w:val="0"/>
              <w:ind w:left="-391" w:right="-376"/>
              <w:jc w:val="center"/>
              <w:rPr>
                <w:rFonts w:ascii="Arial" w:eastAsia="Cambria" w:hAnsi="Arial" w:cs="Arial"/>
                <w:sz w:val="24"/>
                <w:szCs w:val="24"/>
                <w:lang w:eastAsia="en-US"/>
              </w:rPr>
            </w:pPr>
            <w:r w:rsidRPr="00DB184B">
              <w:rPr>
                <w:rFonts w:ascii="Arial" w:eastAsia="Cambria" w:hAnsi="Arial" w:cs="Arial"/>
                <w:b/>
                <w:bCs/>
                <w:sz w:val="24"/>
                <w:szCs w:val="24"/>
                <w:lang w:eastAsia="en-US"/>
              </w:rPr>
              <w:t>25</w:t>
            </w:r>
          </w:p>
        </w:tc>
      </w:tr>
      <w:tr w:rsidR="00DB184B" w:rsidRPr="00DB184B" w:rsidTr="00DB184B">
        <w:trPr>
          <w:trHeight w:val="319"/>
          <w:jc w:val="center"/>
        </w:trPr>
        <w:tc>
          <w:tcPr>
            <w:tcW w:w="5670" w:type="dxa"/>
            <w:tcMar>
              <w:top w:w="80" w:type="nil"/>
              <w:right w:w="80" w:type="nil"/>
            </w:tcMar>
            <w:vAlign w:val="bottom"/>
          </w:tcPr>
          <w:p w:rsidR="00DB184B" w:rsidRPr="00DB184B" w:rsidRDefault="00DB184B" w:rsidP="00DB184B">
            <w:pPr>
              <w:widowControl w:val="0"/>
              <w:autoSpaceDE w:val="0"/>
              <w:autoSpaceDN w:val="0"/>
              <w:adjustRightInd w:val="0"/>
              <w:ind w:right="-376"/>
              <w:rPr>
                <w:rFonts w:ascii="Arial" w:eastAsia="Cambria" w:hAnsi="Arial" w:cs="Arial"/>
                <w:sz w:val="24"/>
                <w:szCs w:val="24"/>
                <w:lang w:eastAsia="en-US"/>
              </w:rPr>
            </w:pPr>
            <w:r w:rsidRPr="00DB184B">
              <w:rPr>
                <w:rFonts w:ascii="Arial" w:eastAsia="Cambria" w:hAnsi="Arial" w:cs="Arial"/>
                <w:b/>
                <w:bCs/>
                <w:sz w:val="24"/>
                <w:szCs w:val="24"/>
                <w:lang w:eastAsia="en-US"/>
              </w:rPr>
              <w:t>Total calificación</w:t>
            </w:r>
          </w:p>
        </w:tc>
        <w:tc>
          <w:tcPr>
            <w:tcW w:w="1809" w:type="dxa"/>
            <w:tcMar>
              <w:top w:w="80" w:type="nil"/>
              <w:right w:w="80" w:type="nil"/>
            </w:tcMar>
            <w:vAlign w:val="center"/>
          </w:tcPr>
          <w:p w:rsidR="00DB184B" w:rsidRPr="00DB184B" w:rsidRDefault="00DB184B" w:rsidP="00DB184B">
            <w:pPr>
              <w:widowControl w:val="0"/>
              <w:autoSpaceDE w:val="0"/>
              <w:autoSpaceDN w:val="0"/>
              <w:adjustRightInd w:val="0"/>
              <w:ind w:right="-376"/>
              <w:rPr>
                <w:rFonts w:ascii="Arial" w:eastAsia="Cambria" w:hAnsi="Arial" w:cs="Arial"/>
                <w:sz w:val="24"/>
                <w:szCs w:val="24"/>
                <w:lang w:eastAsia="en-US"/>
              </w:rPr>
            </w:pPr>
          </w:p>
        </w:tc>
        <w:tc>
          <w:tcPr>
            <w:tcW w:w="1560" w:type="dxa"/>
            <w:tcMar>
              <w:top w:w="80" w:type="nil"/>
              <w:right w:w="80" w:type="nil"/>
            </w:tcMar>
            <w:vAlign w:val="center"/>
          </w:tcPr>
          <w:p w:rsidR="00DB184B" w:rsidRPr="00DB184B" w:rsidRDefault="00DB184B" w:rsidP="00DB184B">
            <w:pPr>
              <w:widowControl w:val="0"/>
              <w:autoSpaceDE w:val="0"/>
              <w:autoSpaceDN w:val="0"/>
              <w:adjustRightInd w:val="0"/>
              <w:ind w:left="-391" w:right="-376"/>
              <w:jc w:val="center"/>
              <w:rPr>
                <w:rFonts w:ascii="Arial" w:eastAsia="Cambria" w:hAnsi="Arial" w:cs="Arial"/>
                <w:sz w:val="24"/>
                <w:szCs w:val="24"/>
                <w:lang w:eastAsia="en-US"/>
              </w:rPr>
            </w:pPr>
            <w:r w:rsidRPr="00DB184B">
              <w:rPr>
                <w:rFonts w:ascii="Arial" w:eastAsia="Cambria" w:hAnsi="Arial" w:cs="Arial"/>
                <w:b/>
                <w:bCs/>
                <w:sz w:val="24"/>
                <w:szCs w:val="24"/>
                <w:lang w:eastAsia="en-US"/>
              </w:rPr>
              <w:t>100</w:t>
            </w:r>
          </w:p>
        </w:tc>
      </w:tr>
    </w:tbl>
    <w:p w:rsidR="00DB184B" w:rsidRPr="00DB184B" w:rsidRDefault="00DB184B" w:rsidP="00DB184B">
      <w:pPr>
        <w:jc w:val="both"/>
        <w:rPr>
          <w:rFonts w:ascii="Arial" w:hAnsi="Arial" w:cs="Arial"/>
          <w:b/>
          <w:bCs/>
          <w:sz w:val="24"/>
          <w:szCs w:val="24"/>
        </w:rPr>
      </w:pPr>
    </w:p>
    <w:p w:rsidR="00DB184B" w:rsidRPr="00DB184B" w:rsidRDefault="00DB184B" w:rsidP="00DB184B">
      <w:pPr>
        <w:jc w:val="both"/>
        <w:rPr>
          <w:rFonts w:ascii="Arial" w:eastAsia="Cambria" w:hAnsi="Arial" w:cs="Arial"/>
          <w:sz w:val="24"/>
          <w:szCs w:val="24"/>
          <w:lang w:eastAsia="en-US"/>
        </w:rPr>
      </w:pPr>
      <w:r w:rsidRPr="00DB184B">
        <w:rPr>
          <w:rFonts w:ascii="Arial" w:hAnsi="Arial" w:cs="Arial"/>
          <w:b/>
          <w:bCs/>
          <w:sz w:val="24"/>
          <w:szCs w:val="24"/>
        </w:rPr>
        <w:t xml:space="preserve">Parágrafo. </w:t>
      </w:r>
      <w:r w:rsidRPr="00DB184B">
        <w:rPr>
          <w:rFonts w:ascii="Arial" w:hAnsi="Arial" w:cs="Arial"/>
          <w:bCs/>
          <w:sz w:val="24"/>
          <w:szCs w:val="24"/>
        </w:rPr>
        <w:t>Solo se otorgará puntaje por el criterio de “</w:t>
      </w:r>
      <w:r w:rsidRPr="00DB184B">
        <w:rPr>
          <w:rFonts w:ascii="Arial" w:eastAsia="Cambria" w:hAnsi="Arial" w:cs="Arial"/>
          <w:i/>
          <w:sz w:val="24"/>
          <w:szCs w:val="24"/>
          <w:lang w:eastAsia="en-US"/>
        </w:rPr>
        <w:t>Quintiles Superiores Saber Pro</w:t>
      </w:r>
      <w:r w:rsidRPr="00DB184B">
        <w:rPr>
          <w:rFonts w:ascii="Arial" w:eastAsia="Cambria" w:hAnsi="Arial" w:cs="Arial"/>
          <w:sz w:val="24"/>
          <w:szCs w:val="24"/>
          <w:lang w:eastAsia="en-US"/>
        </w:rPr>
        <w:t xml:space="preserve">”, cuando el aspirante se encuentre ubicado en los niveles IV o V de los módulos Razonamiento cuantitativo o Lectura Crítica, correspondientes al resultado individual de resultados de las pruebas Saber Pro.  </w:t>
      </w:r>
    </w:p>
    <w:p w:rsidR="00DB184B" w:rsidRPr="00DB184B" w:rsidRDefault="00DB184B" w:rsidP="00DB184B">
      <w:pPr>
        <w:jc w:val="both"/>
        <w:rPr>
          <w:rFonts w:ascii="Arial" w:hAnsi="Arial" w:cs="Arial"/>
          <w:b/>
          <w:bCs/>
          <w:sz w:val="24"/>
          <w:szCs w:val="24"/>
        </w:rPr>
      </w:pPr>
    </w:p>
    <w:p w:rsidR="00DB184B" w:rsidRPr="00DB184B" w:rsidRDefault="00DB184B" w:rsidP="00DB184B">
      <w:pPr>
        <w:jc w:val="both"/>
        <w:rPr>
          <w:rFonts w:ascii="Arial" w:hAnsi="Arial" w:cs="Arial"/>
          <w:b/>
          <w:bCs/>
          <w:sz w:val="24"/>
          <w:szCs w:val="24"/>
        </w:rPr>
      </w:pPr>
      <w:r w:rsidRPr="00DB184B">
        <w:rPr>
          <w:rFonts w:ascii="Arial" w:hAnsi="Arial" w:cs="Arial"/>
          <w:b/>
          <w:bCs/>
          <w:sz w:val="24"/>
          <w:szCs w:val="24"/>
        </w:rPr>
        <w:t xml:space="preserve">Artículo 6. </w:t>
      </w:r>
      <w:r w:rsidRPr="00DB184B">
        <w:rPr>
          <w:rFonts w:ascii="Arial" w:hAnsi="Arial" w:cs="Arial"/>
          <w:b/>
          <w:bCs/>
          <w:i/>
          <w:sz w:val="24"/>
          <w:szCs w:val="24"/>
        </w:rPr>
        <w:t>Proceso de selección.</w:t>
      </w:r>
      <w:r w:rsidRPr="00DB184B">
        <w:rPr>
          <w:rFonts w:ascii="Arial" w:hAnsi="Arial" w:cs="Arial"/>
          <w:bCs/>
          <w:sz w:val="24"/>
          <w:szCs w:val="24"/>
        </w:rPr>
        <w:t xml:space="preserve"> Cuando las entidades territoriales certificadas requieran hacer un nombramiento en provisionalidad de un cargo docente que se encuentre en vacancia definitiva, deberán ingresar al “</w:t>
      </w:r>
      <w:r w:rsidRPr="00DB184B">
        <w:rPr>
          <w:rFonts w:ascii="Arial" w:hAnsi="Arial" w:cs="Arial"/>
          <w:bCs/>
          <w:i/>
          <w:sz w:val="24"/>
          <w:szCs w:val="24"/>
        </w:rPr>
        <w:t>Banco Nacional de la Excelencia</w:t>
      </w:r>
      <w:r w:rsidRPr="00DB184B">
        <w:rPr>
          <w:rFonts w:ascii="Arial" w:hAnsi="Arial" w:cs="Arial"/>
          <w:bCs/>
          <w:sz w:val="24"/>
          <w:szCs w:val="24"/>
        </w:rPr>
        <w:t xml:space="preserve">” el cual arrojará el aspirante que tiene el mayor puntaje entre los inscritos, para ocupar dicho cargo.     </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
          <w:bCs/>
          <w:sz w:val="24"/>
          <w:szCs w:val="24"/>
        </w:rPr>
        <w:t xml:space="preserve">Artículo 7. </w:t>
      </w:r>
      <w:r w:rsidRPr="00DB184B">
        <w:rPr>
          <w:rFonts w:ascii="Arial" w:hAnsi="Arial" w:cs="Arial"/>
          <w:b/>
          <w:bCs/>
          <w:i/>
          <w:sz w:val="24"/>
          <w:szCs w:val="24"/>
        </w:rPr>
        <w:t>Nombramiento.</w:t>
      </w:r>
      <w:r w:rsidRPr="00DB184B">
        <w:rPr>
          <w:rFonts w:ascii="Arial" w:hAnsi="Arial" w:cs="Arial"/>
          <w:b/>
          <w:bCs/>
          <w:sz w:val="24"/>
          <w:szCs w:val="24"/>
        </w:rPr>
        <w:t xml:space="preserve"> </w:t>
      </w:r>
      <w:r w:rsidRPr="00DB184B">
        <w:rPr>
          <w:rFonts w:ascii="Arial" w:hAnsi="Arial" w:cs="Arial"/>
          <w:bCs/>
          <w:sz w:val="24"/>
          <w:szCs w:val="24"/>
        </w:rPr>
        <w:t>Los aspirantes que resulten seleccionados a través del “</w:t>
      </w:r>
      <w:r w:rsidRPr="00DB184B">
        <w:rPr>
          <w:rFonts w:ascii="Arial" w:hAnsi="Arial" w:cs="Arial"/>
          <w:bCs/>
          <w:i/>
          <w:sz w:val="24"/>
          <w:szCs w:val="24"/>
        </w:rPr>
        <w:t>Banco Nacional de la Excelencia</w:t>
      </w:r>
      <w:r w:rsidRPr="00DB184B">
        <w:rPr>
          <w:rFonts w:ascii="Arial" w:hAnsi="Arial" w:cs="Arial"/>
          <w:bCs/>
          <w:sz w:val="24"/>
          <w:szCs w:val="24"/>
        </w:rPr>
        <w:t xml:space="preserve">” deberán presentarse a la respectiva secretaría de educación, o entidad que haga sus veces, dentro del término que establezca la propia entidad territorial certificada, a fin de adelantar los trámites correspondientes para el nombramiento en provisionalidad. </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Cs/>
          <w:sz w:val="24"/>
          <w:szCs w:val="24"/>
        </w:rPr>
        <w:t>En el evento en el cual el aspirante seleccionado no se presente dentro del término establecido por la respectiva secretaría de educación para adelantar los trámites conducentes al nombramiento, o no acredite los documentos que permitieron la valoración de los criterios de selección, quedará suspendido del “</w:t>
      </w:r>
      <w:r w:rsidRPr="00DB184B">
        <w:rPr>
          <w:rFonts w:ascii="Arial" w:hAnsi="Arial" w:cs="Arial"/>
          <w:bCs/>
          <w:i/>
          <w:sz w:val="24"/>
          <w:szCs w:val="24"/>
        </w:rPr>
        <w:t>Banco Nacional de la Excelencia</w:t>
      </w:r>
      <w:r w:rsidRPr="00DB184B">
        <w:rPr>
          <w:rFonts w:ascii="Arial" w:hAnsi="Arial" w:cs="Arial"/>
          <w:bCs/>
          <w:sz w:val="24"/>
          <w:szCs w:val="24"/>
        </w:rPr>
        <w:t xml:space="preserve">”  por el término de tres meses. En estos casos la entidad territorial certificada deberá consultar nuevamente el aplicativo para seleccionar otro aspirante. </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
          <w:bCs/>
          <w:sz w:val="24"/>
          <w:szCs w:val="24"/>
        </w:rPr>
        <w:t>Parágrafo.</w:t>
      </w:r>
      <w:r w:rsidRPr="00DB184B">
        <w:rPr>
          <w:rFonts w:ascii="Arial" w:hAnsi="Arial" w:cs="Arial"/>
          <w:bCs/>
          <w:sz w:val="24"/>
          <w:szCs w:val="24"/>
        </w:rPr>
        <w:t xml:space="preserve"> El Ministerio de Educación Nacional realizará una verificación periódica de los nuevos nombramientos en vacancia definitiva reportados al SINEB y los procesos de vinculación adelantados a través del “</w:t>
      </w:r>
      <w:r w:rsidRPr="00DB184B">
        <w:rPr>
          <w:rFonts w:ascii="Arial" w:hAnsi="Arial" w:cs="Arial"/>
          <w:bCs/>
          <w:i/>
          <w:sz w:val="24"/>
          <w:szCs w:val="24"/>
        </w:rPr>
        <w:t>Banco Nacional de la Excelencia</w:t>
      </w:r>
      <w:r w:rsidRPr="00DB184B">
        <w:rPr>
          <w:rFonts w:ascii="Arial" w:hAnsi="Arial" w:cs="Arial"/>
          <w:bCs/>
          <w:sz w:val="24"/>
          <w:szCs w:val="24"/>
        </w:rPr>
        <w:t xml:space="preserve">”, y adelantará las gestiones necesarias para asegurar el adecuado funcionamiento del aplicativo. </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
          <w:bCs/>
          <w:sz w:val="24"/>
          <w:szCs w:val="24"/>
        </w:rPr>
        <w:t xml:space="preserve">Artículo 8. </w:t>
      </w:r>
      <w:r w:rsidRPr="00DB184B">
        <w:rPr>
          <w:rFonts w:ascii="Arial" w:hAnsi="Arial" w:cs="Arial"/>
          <w:b/>
          <w:bCs/>
          <w:i/>
          <w:sz w:val="24"/>
          <w:szCs w:val="24"/>
        </w:rPr>
        <w:t>Administración del Sistema.</w:t>
      </w:r>
      <w:r w:rsidRPr="00DB184B">
        <w:rPr>
          <w:rFonts w:ascii="Arial" w:hAnsi="Arial" w:cs="Arial"/>
          <w:bCs/>
          <w:sz w:val="24"/>
          <w:szCs w:val="24"/>
        </w:rPr>
        <w:t xml:space="preserve"> La administración del sistema será responsabilidad de las entidades territoriales certificadas en educación, para ello el Ministerio de Educación Nacional otorgará una clave de usuario del aplicativo “</w:t>
      </w:r>
      <w:r w:rsidRPr="00DB184B">
        <w:rPr>
          <w:rFonts w:ascii="Arial" w:hAnsi="Arial" w:cs="Arial"/>
          <w:bCs/>
          <w:i/>
          <w:sz w:val="24"/>
          <w:szCs w:val="24"/>
        </w:rPr>
        <w:t>Banco Nacional de la Excelencia</w:t>
      </w:r>
      <w:r w:rsidRPr="00DB184B">
        <w:rPr>
          <w:rFonts w:ascii="Arial" w:hAnsi="Arial" w:cs="Arial"/>
          <w:bCs/>
          <w:sz w:val="24"/>
          <w:szCs w:val="24"/>
        </w:rPr>
        <w:t>” a cada entidad para que en el marco de sus procesos organizacionales determinen la dependencia responsable del correcto uso de la misma, y garantice la consistencia y calidad de los datos relacionados con las vacantes definitivas generadas para la realización de una provisión oportuna de los cargos docentes.</w:t>
      </w:r>
    </w:p>
    <w:p w:rsidR="00DB184B" w:rsidRDefault="00DB184B" w:rsidP="00DB184B">
      <w:pPr>
        <w:ind w:right="-376"/>
        <w:jc w:val="both"/>
        <w:rPr>
          <w:rFonts w:ascii="Arial" w:hAnsi="Arial" w:cs="Arial"/>
          <w:sz w:val="24"/>
          <w:szCs w:val="24"/>
        </w:rPr>
      </w:pPr>
    </w:p>
    <w:p w:rsidR="00DB184B" w:rsidRPr="00DB184B" w:rsidRDefault="00DB184B" w:rsidP="00DB184B">
      <w:pPr>
        <w:ind w:right="-376"/>
        <w:jc w:val="both"/>
        <w:rPr>
          <w:rFonts w:ascii="Arial" w:hAnsi="Arial" w:cs="Arial"/>
          <w:sz w:val="24"/>
          <w:szCs w:val="24"/>
        </w:rPr>
      </w:pPr>
    </w:p>
    <w:p w:rsidR="00DB184B" w:rsidRPr="00DB184B" w:rsidRDefault="00DB184B" w:rsidP="00DB184B">
      <w:pPr>
        <w:ind w:right="-376"/>
        <w:jc w:val="center"/>
        <w:rPr>
          <w:rFonts w:ascii="Arial" w:hAnsi="Arial" w:cs="Arial"/>
          <w:b/>
          <w:sz w:val="24"/>
          <w:szCs w:val="24"/>
        </w:rPr>
      </w:pPr>
      <w:r w:rsidRPr="00DB184B">
        <w:rPr>
          <w:rFonts w:ascii="Arial" w:hAnsi="Arial" w:cs="Arial"/>
          <w:b/>
          <w:sz w:val="24"/>
          <w:szCs w:val="24"/>
        </w:rPr>
        <w:t>CAPÍTULO 3</w:t>
      </w:r>
    </w:p>
    <w:p w:rsidR="00DB184B" w:rsidRPr="00DB184B" w:rsidRDefault="00DB184B" w:rsidP="00DB184B">
      <w:pPr>
        <w:ind w:right="-376"/>
        <w:jc w:val="center"/>
        <w:rPr>
          <w:rFonts w:ascii="Arial" w:hAnsi="Arial" w:cs="Arial"/>
          <w:b/>
          <w:sz w:val="24"/>
          <w:szCs w:val="24"/>
        </w:rPr>
      </w:pPr>
      <w:r w:rsidRPr="00DB184B">
        <w:rPr>
          <w:rFonts w:ascii="Arial" w:hAnsi="Arial" w:cs="Arial"/>
          <w:b/>
          <w:sz w:val="24"/>
          <w:szCs w:val="24"/>
        </w:rPr>
        <w:t>Disposiciones Finales</w:t>
      </w:r>
    </w:p>
    <w:p w:rsidR="00DB184B" w:rsidRPr="00DB184B" w:rsidRDefault="00DB184B" w:rsidP="00DB184B">
      <w:pPr>
        <w:ind w:right="-376"/>
        <w:jc w:val="both"/>
        <w:rPr>
          <w:rFonts w:ascii="Arial" w:hAnsi="Arial" w:cs="Arial"/>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
          <w:bCs/>
          <w:sz w:val="24"/>
          <w:szCs w:val="24"/>
        </w:rPr>
        <w:t xml:space="preserve">Artículo 9. </w:t>
      </w:r>
      <w:r w:rsidRPr="00DB184B">
        <w:rPr>
          <w:rFonts w:ascii="Arial" w:hAnsi="Arial" w:cs="Arial"/>
          <w:b/>
          <w:bCs/>
          <w:i/>
          <w:sz w:val="24"/>
          <w:szCs w:val="24"/>
        </w:rPr>
        <w:t xml:space="preserve">Habilitación del aplicativo “Banco Nacional de la Excelencia”. </w:t>
      </w:r>
      <w:r w:rsidRPr="00DB184B">
        <w:rPr>
          <w:rFonts w:ascii="Arial" w:hAnsi="Arial" w:cs="Arial"/>
          <w:bCs/>
          <w:sz w:val="24"/>
          <w:szCs w:val="24"/>
        </w:rPr>
        <w:t>Dentro de los quince (15) días siguientes a la expedición de la presente resolución, el Ministerio de Educación Nacional informará a las entidades territoriales certificadas en educación sobre la fecha a partir de la cual quedará habilitado el aplicativo “</w:t>
      </w:r>
      <w:r w:rsidRPr="00DB184B">
        <w:rPr>
          <w:rFonts w:ascii="Arial" w:hAnsi="Arial" w:cs="Arial"/>
          <w:bCs/>
          <w:i/>
          <w:sz w:val="24"/>
          <w:szCs w:val="24"/>
        </w:rPr>
        <w:t>Banco Nacional de la Excelencia</w:t>
      </w:r>
      <w:r w:rsidRPr="00DB184B">
        <w:rPr>
          <w:rFonts w:ascii="Arial" w:hAnsi="Arial" w:cs="Arial"/>
          <w:bCs/>
          <w:sz w:val="24"/>
          <w:szCs w:val="24"/>
        </w:rPr>
        <w:t>”.</w:t>
      </w:r>
    </w:p>
    <w:p w:rsidR="00DB184B" w:rsidRPr="00DB184B" w:rsidRDefault="00DB184B" w:rsidP="00DB184B">
      <w:pPr>
        <w:jc w:val="both"/>
        <w:rPr>
          <w:rFonts w:ascii="Arial" w:hAnsi="Arial" w:cs="Arial"/>
          <w:bCs/>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Cs/>
          <w:sz w:val="24"/>
          <w:szCs w:val="24"/>
        </w:rPr>
        <w:t xml:space="preserve">A partir de la fecha de la habilitación del aplicativo, se establece un período de diez (10) días, dentro de los cuales las entidades territoriales certificadas en educación no podrán realizar nombramientos en provisionalidad mediante la modalidad de que trata la presente resolución, a fin de que se alimente el aplicativo con las inscripciones de los aspirantes interesados. </w:t>
      </w:r>
    </w:p>
    <w:p w:rsidR="00DB184B" w:rsidRPr="00DB184B" w:rsidRDefault="00DB184B" w:rsidP="00DB184B">
      <w:pPr>
        <w:ind w:left="-426" w:right="-376"/>
        <w:jc w:val="both"/>
        <w:rPr>
          <w:rFonts w:ascii="Arial" w:hAnsi="Arial" w:cs="Arial"/>
          <w:b/>
          <w:sz w:val="24"/>
          <w:szCs w:val="24"/>
        </w:rPr>
      </w:pPr>
    </w:p>
    <w:p w:rsidR="00DB184B" w:rsidRPr="00DB184B" w:rsidRDefault="00DB184B" w:rsidP="00DB184B">
      <w:pPr>
        <w:jc w:val="both"/>
        <w:rPr>
          <w:rFonts w:ascii="Arial" w:hAnsi="Arial" w:cs="Arial"/>
          <w:bCs/>
          <w:sz w:val="24"/>
          <w:szCs w:val="24"/>
        </w:rPr>
      </w:pPr>
      <w:r w:rsidRPr="00DB184B">
        <w:rPr>
          <w:rFonts w:ascii="Arial" w:hAnsi="Arial" w:cs="Arial"/>
          <w:b/>
          <w:bCs/>
          <w:sz w:val="24"/>
          <w:szCs w:val="24"/>
        </w:rPr>
        <w:t xml:space="preserve">Artículo 10. </w:t>
      </w:r>
      <w:r w:rsidRPr="00DB184B">
        <w:rPr>
          <w:rFonts w:ascii="Arial" w:hAnsi="Arial" w:cs="Arial"/>
          <w:b/>
          <w:bCs/>
          <w:i/>
          <w:sz w:val="24"/>
          <w:szCs w:val="24"/>
        </w:rPr>
        <w:t>Vigencia</w:t>
      </w:r>
      <w:r w:rsidRPr="00DB184B">
        <w:rPr>
          <w:rFonts w:ascii="Arial" w:hAnsi="Arial" w:cs="Arial"/>
          <w:b/>
          <w:bCs/>
          <w:sz w:val="24"/>
          <w:szCs w:val="24"/>
        </w:rPr>
        <w:t>.</w:t>
      </w:r>
      <w:r w:rsidRPr="00DB184B">
        <w:rPr>
          <w:rFonts w:ascii="Arial" w:hAnsi="Arial" w:cs="Arial"/>
          <w:bCs/>
          <w:sz w:val="24"/>
          <w:szCs w:val="24"/>
        </w:rPr>
        <w:t xml:space="preserve"> La presente resolución rige a partir de la fecha de su publicación.</w:t>
      </w:r>
    </w:p>
    <w:p w:rsidR="00DB184B" w:rsidRDefault="00DB184B" w:rsidP="00DB184B">
      <w:pPr>
        <w:ind w:right="-376"/>
        <w:rPr>
          <w:rFonts w:ascii="Arial" w:hAnsi="Arial" w:cs="Arial"/>
          <w:sz w:val="24"/>
          <w:szCs w:val="24"/>
        </w:rPr>
      </w:pPr>
    </w:p>
    <w:p w:rsidR="00DB184B" w:rsidRPr="00DB184B" w:rsidRDefault="00DB184B" w:rsidP="00DB184B">
      <w:pPr>
        <w:ind w:right="-376"/>
        <w:rPr>
          <w:rFonts w:ascii="Arial" w:hAnsi="Arial" w:cs="Arial"/>
          <w:sz w:val="24"/>
          <w:szCs w:val="24"/>
        </w:rPr>
      </w:pPr>
    </w:p>
    <w:p w:rsidR="00DB184B" w:rsidRPr="00DB184B" w:rsidRDefault="00DB184B" w:rsidP="00DB184B">
      <w:pPr>
        <w:ind w:right="-376"/>
        <w:jc w:val="center"/>
        <w:rPr>
          <w:rFonts w:ascii="Arial" w:hAnsi="Arial" w:cs="Arial"/>
          <w:b/>
          <w:sz w:val="24"/>
          <w:szCs w:val="24"/>
        </w:rPr>
      </w:pPr>
      <w:r w:rsidRPr="00DB184B">
        <w:rPr>
          <w:rFonts w:ascii="Arial" w:hAnsi="Arial" w:cs="Arial"/>
          <w:b/>
          <w:sz w:val="24"/>
          <w:szCs w:val="24"/>
        </w:rPr>
        <w:t>PUBLIQUESE  Y CÚMPLASE</w:t>
      </w:r>
    </w:p>
    <w:p w:rsidR="005B23A6" w:rsidRDefault="005B23A6" w:rsidP="00DB184B">
      <w:pPr>
        <w:jc w:val="center"/>
        <w:rPr>
          <w:rFonts w:ascii="Arial" w:hAnsi="Arial" w:cs="Arial"/>
          <w:sz w:val="24"/>
          <w:szCs w:val="24"/>
        </w:rPr>
      </w:pPr>
    </w:p>
    <w:p w:rsidR="00DB184B" w:rsidRDefault="00DB184B" w:rsidP="00DB184B">
      <w:pPr>
        <w:jc w:val="center"/>
        <w:rPr>
          <w:rFonts w:ascii="Arial" w:hAnsi="Arial" w:cs="Arial"/>
          <w:sz w:val="24"/>
          <w:szCs w:val="24"/>
        </w:rPr>
      </w:pPr>
    </w:p>
    <w:p w:rsidR="00DB184B" w:rsidRPr="00DB184B" w:rsidRDefault="00DB184B" w:rsidP="00DB184B">
      <w:pPr>
        <w:rPr>
          <w:rFonts w:ascii="Arial" w:hAnsi="Arial" w:cs="Arial"/>
          <w:sz w:val="24"/>
          <w:szCs w:val="24"/>
        </w:rPr>
      </w:pPr>
      <w:r w:rsidRPr="00DB184B">
        <w:rPr>
          <w:rFonts w:ascii="Arial" w:hAnsi="Arial" w:cs="Arial"/>
          <w:sz w:val="24"/>
          <w:szCs w:val="24"/>
        </w:rPr>
        <w:t xml:space="preserve">Dada en Bogotá,  a los </w:t>
      </w:r>
    </w:p>
    <w:p w:rsidR="00DB184B" w:rsidRDefault="00DB184B" w:rsidP="00DB184B">
      <w:pPr>
        <w:rPr>
          <w:rFonts w:ascii="Arial" w:hAnsi="Arial" w:cs="Arial"/>
          <w:sz w:val="24"/>
          <w:szCs w:val="24"/>
        </w:rPr>
      </w:pPr>
    </w:p>
    <w:p w:rsidR="00DB184B" w:rsidRPr="00DB184B" w:rsidRDefault="00DB184B" w:rsidP="00DB184B">
      <w:pPr>
        <w:rPr>
          <w:rFonts w:ascii="Arial" w:hAnsi="Arial" w:cs="Arial"/>
          <w:sz w:val="24"/>
          <w:szCs w:val="24"/>
        </w:rPr>
      </w:pPr>
    </w:p>
    <w:p w:rsidR="00DB184B" w:rsidRPr="00DB184B" w:rsidRDefault="00DB184B" w:rsidP="00DB184B">
      <w:pPr>
        <w:rPr>
          <w:rFonts w:ascii="Arial" w:hAnsi="Arial" w:cs="Arial"/>
          <w:sz w:val="24"/>
          <w:szCs w:val="24"/>
        </w:rPr>
      </w:pPr>
    </w:p>
    <w:p w:rsidR="00DB184B" w:rsidRPr="00DB184B" w:rsidRDefault="00DB184B" w:rsidP="00DB184B">
      <w:pPr>
        <w:rPr>
          <w:rFonts w:ascii="Arial" w:hAnsi="Arial" w:cs="Arial"/>
          <w:b/>
          <w:sz w:val="24"/>
          <w:szCs w:val="24"/>
        </w:rPr>
      </w:pPr>
      <w:r w:rsidRPr="00DB184B">
        <w:rPr>
          <w:rFonts w:ascii="Arial" w:hAnsi="Arial" w:cs="Arial"/>
          <w:b/>
          <w:sz w:val="24"/>
          <w:szCs w:val="24"/>
        </w:rPr>
        <w:t>LA MINISTRA DE EDUCACIÓN NACIONAL</w:t>
      </w:r>
    </w:p>
    <w:p w:rsidR="00DB184B" w:rsidRPr="00DB184B" w:rsidRDefault="00DB184B" w:rsidP="00DB184B">
      <w:pPr>
        <w:rPr>
          <w:rFonts w:ascii="Arial" w:hAnsi="Arial" w:cs="Arial"/>
          <w:sz w:val="24"/>
          <w:szCs w:val="24"/>
        </w:rPr>
      </w:pPr>
    </w:p>
    <w:p w:rsidR="00DB184B" w:rsidRDefault="00DB184B" w:rsidP="00DB184B">
      <w:pPr>
        <w:rPr>
          <w:rFonts w:ascii="Arial" w:hAnsi="Arial" w:cs="Arial"/>
          <w:sz w:val="24"/>
          <w:szCs w:val="24"/>
        </w:rPr>
      </w:pPr>
    </w:p>
    <w:p w:rsidR="00DB184B" w:rsidRDefault="00DB184B" w:rsidP="00DB184B">
      <w:pPr>
        <w:rPr>
          <w:rFonts w:ascii="Arial" w:hAnsi="Arial" w:cs="Arial"/>
          <w:sz w:val="24"/>
          <w:szCs w:val="24"/>
        </w:rPr>
      </w:pPr>
    </w:p>
    <w:p w:rsidR="00DB184B" w:rsidRDefault="00DB184B" w:rsidP="00DB184B">
      <w:pPr>
        <w:rPr>
          <w:rFonts w:ascii="Arial" w:hAnsi="Arial" w:cs="Arial"/>
          <w:sz w:val="24"/>
          <w:szCs w:val="24"/>
        </w:rPr>
      </w:pPr>
    </w:p>
    <w:p w:rsidR="00DB184B" w:rsidRDefault="00DB184B" w:rsidP="00DB184B">
      <w:pPr>
        <w:rPr>
          <w:rFonts w:ascii="Arial" w:hAnsi="Arial" w:cs="Arial"/>
          <w:sz w:val="24"/>
          <w:szCs w:val="24"/>
        </w:rPr>
      </w:pPr>
    </w:p>
    <w:p w:rsidR="00DB184B" w:rsidRDefault="00DB184B" w:rsidP="00DB184B">
      <w:pPr>
        <w:rPr>
          <w:rFonts w:ascii="Arial" w:hAnsi="Arial" w:cs="Arial"/>
          <w:sz w:val="24"/>
          <w:szCs w:val="24"/>
        </w:rPr>
      </w:pPr>
    </w:p>
    <w:p w:rsidR="00DB184B" w:rsidRDefault="00DB184B" w:rsidP="00DB184B">
      <w:pPr>
        <w:rPr>
          <w:rFonts w:ascii="Arial" w:hAnsi="Arial" w:cs="Arial"/>
          <w:sz w:val="24"/>
          <w:szCs w:val="24"/>
        </w:rPr>
      </w:pPr>
    </w:p>
    <w:p w:rsidR="00DB184B" w:rsidRPr="00DB184B" w:rsidRDefault="00DB184B" w:rsidP="00DB184B">
      <w:pPr>
        <w:jc w:val="right"/>
        <w:rPr>
          <w:rFonts w:ascii="Arial" w:hAnsi="Arial" w:cs="Arial"/>
          <w:sz w:val="24"/>
          <w:szCs w:val="24"/>
        </w:rPr>
      </w:pPr>
      <w:r w:rsidRPr="00DB184B">
        <w:rPr>
          <w:rFonts w:ascii="Arial" w:hAnsi="Arial" w:cs="Arial"/>
          <w:b/>
          <w:sz w:val="24"/>
          <w:szCs w:val="24"/>
        </w:rPr>
        <w:t>GINA PARODY D’ECHEONA</w:t>
      </w:r>
    </w:p>
    <w:p w:rsidR="00DB184B" w:rsidRPr="00DB184B" w:rsidRDefault="00DB184B" w:rsidP="00DB184B">
      <w:pPr>
        <w:jc w:val="center"/>
        <w:rPr>
          <w:rFonts w:ascii="Arial" w:hAnsi="Arial" w:cs="Arial"/>
          <w:sz w:val="24"/>
          <w:szCs w:val="24"/>
        </w:rPr>
      </w:pPr>
    </w:p>
    <w:p w:rsidR="00DB184B" w:rsidRPr="001C54A5" w:rsidRDefault="00DB184B" w:rsidP="00DB184B">
      <w:pPr>
        <w:jc w:val="center"/>
        <w:rPr>
          <w:rFonts w:ascii="Arial" w:hAnsi="Arial" w:cs="Arial"/>
          <w:sz w:val="24"/>
          <w:szCs w:val="24"/>
        </w:rPr>
      </w:pPr>
    </w:p>
    <w:sectPr w:rsidR="00DB184B" w:rsidRPr="001C54A5" w:rsidSect="00DB184B">
      <w:headerReference w:type="default" r:id="rId9"/>
      <w:footerReference w:type="default" r:id="rId10"/>
      <w:headerReference w:type="first" r:id="rId11"/>
      <w:footerReference w:type="first" r:id="rId12"/>
      <w:pgSz w:w="12242" w:h="20163" w:code="5"/>
      <w:pgMar w:top="1588" w:right="1247" w:bottom="1304" w:left="136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60" w:rsidRDefault="00673660" w:rsidP="00776FA3">
      <w:r>
        <w:separator/>
      </w:r>
    </w:p>
    <w:p w:rsidR="00673660" w:rsidRDefault="00673660"/>
  </w:endnote>
  <w:endnote w:type="continuationSeparator" w:id="0">
    <w:p w:rsidR="00673660" w:rsidRDefault="00673660" w:rsidP="00776FA3">
      <w:r>
        <w:continuationSeparator/>
      </w:r>
    </w:p>
    <w:p w:rsidR="00673660" w:rsidRDefault="00673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17" w:rsidRDefault="00307080">
    <w:pPr>
      <w:pStyle w:val="Piedepgina"/>
    </w:pPr>
    <w:r>
      <w:rPr>
        <w:noProof/>
        <w:lang w:val="es-CO" w:eastAsia="es-CO"/>
      </w:rPr>
      <mc:AlternateContent>
        <mc:Choice Requires="wps">
          <w:drawing>
            <wp:anchor distT="0" distB="0" distL="114300" distR="114300" simplePos="0" relativeHeight="251668480" behindDoc="0" locked="0" layoutInCell="0" allowOverlap="1" wp14:anchorId="5E782B7E" wp14:editId="43297789">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17" w:rsidRDefault="00307080">
    <w:pPr>
      <w:pStyle w:val="Piedepgina"/>
    </w:pPr>
    <w:r>
      <w:rPr>
        <w:rFonts w:ascii="Univers" w:hAnsi="Univers"/>
        <w:noProof/>
        <w:sz w:val="28"/>
        <w:lang w:val="es-CO" w:eastAsia="es-CO"/>
      </w:rPr>
      <mc:AlternateContent>
        <mc:Choice Requires="wps">
          <w:drawing>
            <wp:anchor distT="0" distB="0" distL="114300" distR="114300" simplePos="0" relativeHeight="251665408" behindDoc="0" locked="0" layoutInCell="0" allowOverlap="1" wp14:anchorId="093EE2A6" wp14:editId="4C89A3AA">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60" w:rsidRDefault="00673660" w:rsidP="00776FA3">
      <w:r>
        <w:separator/>
      </w:r>
    </w:p>
    <w:p w:rsidR="00673660" w:rsidRDefault="00673660"/>
  </w:footnote>
  <w:footnote w:type="continuationSeparator" w:id="0">
    <w:p w:rsidR="00673660" w:rsidRDefault="00673660" w:rsidP="00776FA3">
      <w:r>
        <w:continuationSeparator/>
      </w:r>
    </w:p>
    <w:p w:rsidR="00673660" w:rsidRDefault="006736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17" w:rsidRDefault="00673660">
    <w:pPr>
      <w:pStyle w:val="Ttulo2"/>
      <w:jc w:val="center"/>
    </w:pPr>
  </w:p>
  <w:p w:rsidR="00341617" w:rsidRDefault="00673660">
    <w:pPr>
      <w:pStyle w:val="Ttulo2"/>
      <w:jc w:val="center"/>
    </w:pPr>
  </w:p>
  <w:p w:rsidR="00341617" w:rsidRPr="000D653F" w:rsidRDefault="00307080">
    <w:pPr>
      <w:pStyle w:val="Ttulo2"/>
      <w:jc w:val="center"/>
      <w:rPr>
        <w:rStyle w:val="Nmerodepgina"/>
        <w:rFonts w:ascii="Arial" w:hAnsi="Arial" w:cs="Arial"/>
        <w:sz w:val="18"/>
      </w:rPr>
    </w:pPr>
    <w:r w:rsidRPr="000D653F">
      <w:rPr>
        <w:rFonts w:ascii="Arial" w:hAnsi="Arial" w:cs="Arial"/>
        <w:sz w:val="18"/>
      </w:rPr>
      <w:t xml:space="preserve">RESOLUCIÓN  NÚMERO     </w:t>
    </w:r>
    <w:r w:rsidR="005B23A6">
      <w:rPr>
        <w:rFonts w:ascii="Arial" w:hAnsi="Arial" w:cs="Arial"/>
        <w:sz w:val="18"/>
      </w:rPr>
      <w:t xml:space="preserve">                </w:t>
    </w:r>
    <w:r w:rsidRPr="000D653F">
      <w:rPr>
        <w:rFonts w:ascii="Arial" w:hAnsi="Arial" w:cs="Arial"/>
        <w:sz w:val="18"/>
      </w:rPr>
      <w:t xml:space="preserve">                 DE    </w:t>
    </w:r>
    <w:r w:rsidR="00774EF6">
      <w:rPr>
        <w:rFonts w:ascii="Arial" w:hAnsi="Arial" w:cs="Arial"/>
        <w:sz w:val="18"/>
      </w:rPr>
      <w:t>2016</w:t>
    </w:r>
    <w:r w:rsidRPr="000D653F">
      <w:rPr>
        <w:rFonts w:ascii="Arial" w:hAnsi="Arial" w:cs="Arial"/>
        <w:sz w:val="18"/>
      </w:rPr>
      <w:t xml:space="preserve">        HOJA No. </w:t>
    </w:r>
    <w:r w:rsidRPr="000D653F">
      <w:rPr>
        <w:rStyle w:val="Nmerodepgina"/>
        <w:rFonts w:ascii="Arial" w:hAnsi="Arial" w:cs="Arial"/>
        <w:sz w:val="18"/>
      </w:rPr>
      <w:fldChar w:fldCharType="begin"/>
    </w:r>
    <w:r w:rsidRPr="000D653F">
      <w:rPr>
        <w:rStyle w:val="Nmerodepgina"/>
        <w:rFonts w:ascii="Arial" w:hAnsi="Arial" w:cs="Arial"/>
        <w:sz w:val="18"/>
      </w:rPr>
      <w:instrText xml:space="preserve"> PAGE </w:instrText>
    </w:r>
    <w:r w:rsidRPr="000D653F">
      <w:rPr>
        <w:rStyle w:val="Nmerodepgina"/>
        <w:rFonts w:ascii="Arial" w:hAnsi="Arial" w:cs="Arial"/>
        <w:sz w:val="18"/>
      </w:rPr>
      <w:fldChar w:fldCharType="separate"/>
    </w:r>
    <w:r w:rsidR="00396638">
      <w:rPr>
        <w:rStyle w:val="Nmerodepgina"/>
        <w:rFonts w:ascii="Arial" w:hAnsi="Arial" w:cs="Arial"/>
        <w:noProof/>
        <w:sz w:val="18"/>
      </w:rPr>
      <w:t>4</w:t>
    </w:r>
    <w:r w:rsidRPr="000D653F">
      <w:rPr>
        <w:rStyle w:val="Nmerodepgina"/>
        <w:rFonts w:ascii="Arial" w:hAnsi="Arial" w:cs="Arial"/>
        <w:sz w:val="18"/>
      </w:rPr>
      <w:fldChar w:fldCharType="end"/>
    </w:r>
  </w:p>
  <w:p w:rsidR="003C40D8" w:rsidRDefault="003C40D8" w:rsidP="00D527E0">
    <w:pPr>
      <w:jc w:val="center"/>
      <w:rPr>
        <w:rFonts w:ascii="Arial" w:hAnsi="Arial" w:cs="Arial"/>
      </w:rPr>
    </w:pPr>
  </w:p>
  <w:p w:rsidR="00D527E0" w:rsidRDefault="006F0FE0" w:rsidP="00D527E0">
    <w:pPr>
      <w:jc w:val="center"/>
      <w:rPr>
        <w:rFonts w:ascii="Arial" w:hAnsi="Arial" w:cs="Arial"/>
        <w:i/>
      </w:rPr>
    </w:pPr>
    <w:r w:rsidRPr="00485F29">
      <w:rPr>
        <w:noProof/>
        <w:lang w:val="es-CO" w:eastAsia="es-CO"/>
      </w:rPr>
      <mc:AlternateContent>
        <mc:Choice Requires="wps">
          <w:drawing>
            <wp:anchor distT="0" distB="0" distL="114300" distR="114300" simplePos="0" relativeHeight="251667456" behindDoc="0" locked="0" layoutInCell="0" allowOverlap="1" wp14:anchorId="1BC69DEB" wp14:editId="2DA4F725">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sidRPr="00485F29">
      <w:rPr>
        <w:noProof/>
        <w:lang w:val="es-CO" w:eastAsia="es-CO"/>
      </w:rPr>
      <mc:AlternateContent>
        <mc:Choice Requires="wps">
          <w:drawing>
            <wp:anchor distT="0" distB="0" distL="114300" distR="114300" simplePos="0" relativeHeight="251666432" behindDoc="0" locked="0" layoutInCell="0" allowOverlap="1" wp14:anchorId="2CAA17D1" wp14:editId="14606A72">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sidR="00307080" w:rsidRPr="00485F29">
      <w:rPr>
        <w:noProof/>
        <w:lang w:val="es-CO" w:eastAsia="es-CO"/>
      </w:rPr>
      <mc:AlternateContent>
        <mc:Choice Requires="wps">
          <w:drawing>
            <wp:anchor distT="0" distB="0" distL="114300" distR="114300" simplePos="0" relativeHeight="251669504" behindDoc="0" locked="0" layoutInCell="0" allowOverlap="1" wp14:anchorId="51E04FC2" wp14:editId="2560B619">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rsidR="00341617" w:rsidRDefault="003C40D8" w:rsidP="00BF0CDB">
    <w:pPr>
      <w:ind w:right="80"/>
      <w:jc w:val="both"/>
      <w:rPr>
        <w:rFonts w:ascii="Arial" w:hAnsi="Arial" w:cs="Arial"/>
        <w:i/>
      </w:rPr>
    </w:pPr>
    <w:r w:rsidRPr="00485F29">
      <w:rPr>
        <w:rFonts w:ascii="Arial" w:hAnsi="Arial" w:cs="Arial"/>
      </w:rPr>
      <w:t xml:space="preserve">Continuación </w:t>
    </w:r>
    <w:r w:rsidR="004A2F50">
      <w:rPr>
        <w:rFonts w:ascii="Arial" w:hAnsi="Arial" w:cs="Arial"/>
      </w:rPr>
      <w:t xml:space="preserve">de la </w:t>
    </w:r>
    <w:r w:rsidRPr="00485F29">
      <w:rPr>
        <w:rFonts w:ascii="Arial" w:hAnsi="Arial" w:cs="Arial"/>
      </w:rPr>
      <w:t>Resolución</w:t>
    </w:r>
    <w:r>
      <w:rPr>
        <w:rFonts w:ascii="Arial" w:hAnsi="Arial" w:cs="Arial"/>
        <w:sz w:val="24"/>
        <w:szCs w:val="24"/>
      </w:rPr>
      <w:t xml:space="preserve"> </w:t>
    </w:r>
    <w:r w:rsidR="00F74851" w:rsidRPr="00F74851">
      <w:rPr>
        <w:rFonts w:ascii="Arial" w:hAnsi="Arial" w:cs="Arial"/>
        <w:i/>
      </w:rPr>
      <w:t>“</w:t>
    </w:r>
    <w:r w:rsidR="002A3B6D" w:rsidRPr="002A3B6D">
      <w:rPr>
        <w:rFonts w:ascii="Arial" w:hAnsi="Arial" w:cs="Arial"/>
        <w:i/>
      </w:rPr>
      <w:t>Por la cual se dispone el funcionamiento del aplicativo para la provisión de vacantes definitivas de cargos docentes mediante nombramiento provisional</w:t>
    </w:r>
    <w:r w:rsidR="00F74851" w:rsidRPr="00F74851">
      <w:rPr>
        <w:rFonts w:ascii="Arial" w:hAnsi="Arial" w:cs="Arial"/>
        <w:i/>
      </w:rPr>
      <w:t>”</w:t>
    </w:r>
  </w:p>
  <w:p w:rsidR="00077256" w:rsidRDefault="00077256">
    <w:r>
      <w:rPr>
        <w:rFonts w:ascii="Arial" w:hAnsi="Arial" w:cs="Arial"/>
        <w:i/>
      </w:rPr>
      <w:t>________________________________________________________</w:t>
    </w:r>
    <w:r w:rsidR="00DB184B">
      <w:rPr>
        <w:rFonts w:ascii="Arial" w:hAnsi="Arial" w:cs="Arial"/>
        <w:i/>
      </w:rPr>
      <w:t>_____________________________</w:t>
    </w:r>
  </w:p>
  <w:p w:rsidR="00B6448F" w:rsidRDefault="00B644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17" w:rsidRDefault="00307080">
    <w:pPr>
      <w:pStyle w:val="Ttulo1"/>
      <w:jc w:val="center"/>
      <w:rPr>
        <w:rFonts w:ascii="Univers" w:hAnsi="Univers"/>
        <w:sz w:val="28"/>
      </w:rPr>
    </w:pPr>
    <w:r>
      <w:rPr>
        <w:rFonts w:ascii="Univers" w:hAnsi="Univers"/>
        <w:sz w:val="28"/>
      </w:rPr>
      <w:t>REPUBLICA DE COLOMBIA</w:t>
    </w:r>
  </w:p>
  <w:p w:rsidR="00341617" w:rsidRDefault="00673660"/>
  <w:p w:rsidR="00341617" w:rsidRDefault="00673660"/>
  <w:p w:rsidR="00341617" w:rsidRDefault="006F0FE0">
    <w:pPr>
      <w:jc w:val="center"/>
      <w:rPr>
        <w:rFonts w:ascii="Verdana" w:hAnsi="Verdana"/>
        <w:b/>
        <w:sz w:val="24"/>
      </w:rPr>
    </w:pPr>
    <w:r>
      <w:rPr>
        <w:rFonts w:ascii="Verdana" w:hAnsi="Verdana"/>
        <w:b/>
        <w:noProof/>
        <w:sz w:val="24"/>
        <w:lang w:val="es-CO" w:eastAsia="es-CO"/>
      </w:rPr>
      <mc:AlternateContent>
        <mc:Choice Requires="wps">
          <w:drawing>
            <wp:anchor distT="0" distB="0" distL="114300" distR="114300" simplePos="0" relativeHeight="251663360" behindDoc="0" locked="0" layoutInCell="0" allowOverlap="1" wp14:anchorId="28DB98CA" wp14:editId="0B8144F1">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2336" behindDoc="0" locked="0" layoutInCell="0" allowOverlap="1" wp14:anchorId="793E96EE" wp14:editId="7131304E">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" o:allowincell="f" strokeweight="1.5pt"/>
          </w:pict>
        </mc:Fallback>
      </mc:AlternateContent>
    </w:r>
    <w:r w:rsidR="00307080">
      <w:rPr>
        <w:rFonts w:ascii="Verdana" w:hAnsi="Verdana"/>
        <w:b/>
        <w:noProof/>
        <w:sz w:val="24"/>
        <w:lang w:val="es-CO" w:eastAsia="es-CO"/>
      </w:rPr>
      <mc:AlternateContent>
        <mc:Choice Requires="wps">
          <w:drawing>
            <wp:anchor distT="0" distB="0" distL="114300" distR="114300" simplePos="0" relativeHeight="251660288" behindDoc="0" locked="0" layoutInCell="0" allowOverlap="1" wp14:anchorId="07170651" wp14:editId="195A0D25">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617" w:rsidRDefault="00307080">
                          <w:r>
                            <w:object w:dxaOrig="1096" w:dyaOrig="1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41.15pt" o:ole="" fillcolor="window">
                                <v:imagedata r:id="rId1" o:title=""/>
                              </v:shape>
                              <o:OLEObject Type="Embed" ProgID="Word.Picture.8" ShapeID="_x0000_i1025" DrawAspect="Content" ObjectID="_1521371808"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rsidR="00341617" w:rsidRDefault="00307080">
                    <w:r>
                      <w:object w:dxaOrig="1096" w:dyaOrig="1006">
                        <v:shape id="_x0000_i1025" type="#_x0000_t75" style="width:47.7pt;height:41.15pt" o:ole="" fillcolor="window">
                          <v:imagedata r:id="rId1" o:title=""/>
                        </v:shape>
                        <o:OLEObject Type="Embed" ProgID="Word.Picture.8" ShapeID="_x0000_i1025" DrawAspect="Content" ObjectID="_1521371808" r:id="rId3"/>
                      </w:object>
                    </w:r>
                  </w:p>
                </w:txbxContent>
              </v:textbox>
            </v:shape>
          </w:pict>
        </mc:Fallback>
      </mc:AlternateContent>
    </w:r>
    <w:r w:rsidR="00307080">
      <w:rPr>
        <w:rFonts w:ascii="Verdana" w:hAnsi="Verdana"/>
        <w:b/>
        <w:noProof/>
        <w:sz w:val="24"/>
        <w:lang w:val="es-CO" w:eastAsia="es-CO"/>
      </w:rPr>
      <mc:AlternateContent>
        <mc:Choice Requires="wps">
          <w:drawing>
            <wp:anchor distT="0" distB="0" distL="114300" distR="114300" simplePos="0" relativeHeight="251664384" behindDoc="0" locked="0" layoutInCell="0" allowOverlap="1" wp14:anchorId="2EB7155E" wp14:editId="40BB7138">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sidR="00307080">
      <w:rPr>
        <w:rFonts w:ascii="Verdana" w:hAnsi="Verdana"/>
        <w:b/>
        <w:noProof/>
        <w:sz w:val="24"/>
        <w:lang w:val="es-CO" w:eastAsia="es-CO"/>
      </w:rPr>
      <mc:AlternateContent>
        <mc:Choice Requires="wps">
          <w:drawing>
            <wp:anchor distT="0" distB="0" distL="114300" distR="114300" simplePos="0" relativeHeight="251661312" behindDoc="0" locked="0" layoutInCell="0" allowOverlap="1" wp14:anchorId="71F3426A" wp14:editId="1C47CAE1">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rsidR="00341617" w:rsidRDefault="00673660">
    <w:pPr>
      <w:pStyle w:val="Ttulo2"/>
      <w:jc w:val="center"/>
    </w:pPr>
  </w:p>
  <w:p w:rsidR="00341617" w:rsidRDefault="00307080">
    <w:pPr>
      <w:pStyle w:val="Ttulo2"/>
      <w:spacing w:line="360" w:lineRule="auto"/>
      <w:jc w:val="center"/>
      <w:rPr>
        <w:rFonts w:ascii="Arial" w:hAnsi="Arial" w:cs="Arial"/>
        <w:sz w:val="24"/>
        <w:szCs w:val="24"/>
      </w:rPr>
    </w:pPr>
    <w:r w:rsidRPr="00D67828">
      <w:rPr>
        <w:rFonts w:ascii="Arial" w:hAnsi="Arial" w:cs="Arial"/>
        <w:sz w:val="24"/>
        <w:szCs w:val="24"/>
      </w:rPr>
      <w:t>MINISTERIO DE EDUCACI</w:t>
    </w:r>
    <w:r w:rsidR="00484B26">
      <w:rPr>
        <w:rFonts w:ascii="Arial" w:hAnsi="Arial" w:cs="Arial"/>
        <w:sz w:val="24"/>
        <w:szCs w:val="24"/>
      </w:rPr>
      <w:t>Ó</w:t>
    </w:r>
    <w:r w:rsidRPr="00D67828">
      <w:rPr>
        <w:rFonts w:ascii="Arial" w:hAnsi="Arial" w:cs="Arial"/>
        <w:sz w:val="24"/>
        <w:szCs w:val="24"/>
      </w:rPr>
      <w:t>N NACIONAL</w:t>
    </w:r>
  </w:p>
  <w:p w:rsidR="006F0FE0" w:rsidRPr="006F0FE0" w:rsidRDefault="006F0FE0" w:rsidP="006F0FE0"/>
  <w:p w:rsidR="00341617" w:rsidRDefault="00673660">
    <w:pPr>
      <w:pStyle w:val="Ttulo2"/>
      <w:rPr>
        <w:rFonts w:ascii="Times New Roman" w:hAnsi="Times New Roman"/>
        <w:sz w:val="18"/>
      </w:rPr>
    </w:pPr>
  </w:p>
  <w:p w:rsidR="00341617" w:rsidRPr="00305549" w:rsidRDefault="00307080" w:rsidP="00D527E0">
    <w:pPr>
      <w:jc w:val="center"/>
      <w:rPr>
        <w:rFonts w:ascii="Arial" w:hAnsi="Arial" w:cs="Arial"/>
        <w:b/>
        <w:sz w:val="24"/>
        <w:szCs w:val="24"/>
      </w:rPr>
    </w:pPr>
    <w:r w:rsidRPr="00305549">
      <w:rPr>
        <w:rFonts w:ascii="Arial" w:hAnsi="Arial" w:cs="Arial"/>
        <w:b/>
        <w:sz w:val="24"/>
        <w:szCs w:val="24"/>
      </w:rPr>
      <w:t xml:space="preserve">RESOLUCIÓN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D15A"/>
    <w:multiLevelType w:val="singleLevel"/>
    <w:tmpl w:val="76AB3562"/>
    <w:lvl w:ilvl="0">
      <w:start w:val="6"/>
      <w:numFmt w:val="decimal"/>
      <w:lvlText w:val="%1."/>
      <w:lvlJc w:val="left"/>
      <w:pPr>
        <w:tabs>
          <w:tab w:val="num" w:pos="432"/>
        </w:tabs>
        <w:ind w:left="1584" w:hanging="432"/>
      </w:pPr>
      <w:rPr>
        <w:rFonts w:ascii="Tahoma" w:hAnsi="Tahoma" w:cs="Tahoma"/>
        <w:snapToGrid/>
        <w:spacing w:val="11"/>
        <w:sz w:val="22"/>
        <w:szCs w:val="22"/>
      </w:rPr>
    </w:lvl>
  </w:abstractNum>
  <w:abstractNum w:abstractNumId="1">
    <w:nsid w:val="0195691B"/>
    <w:multiLevelType w:val="hybridMultilevel"/>
    <w:tmpl w:val="6E1C8B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83C624"/>
    <w:multiLevelType w:val="singleLevel"/>
    <w:tmpl w:val="34DAA135"/>
    <w:lvl w:ilvl="0">
      <w:start w:val="1"/>
      <w:numFmt w:val="decimal"/>
      <w:lvlText w:val="%1."/>
      <w:lvlJc w:val="left"/>
      <w:pPr>
        <w:tabs>
          <w:tab w:val="num" w:pos="504"/>
        </w:tabs>
        <w:ind w:left="1584" w:hanging="504"/>
      </w:pPr>
      <w:rPr>
        <w:rFonts w:ascii="Tahoma" w:hAnsi="Tahoma" w:cs="Tahoma"/>
        <w:snapToGrid/>
        <w:spacing w:val="8"/>
        <w:sz w:val="22"/>
        <w:szCs w:val="22"/>
      </w:rPr>
    </w:lvl>
  </w:abstractNum>
  <w:abstractNum w:abstractNumId="3">
    <w:nsid w:val="0497FEA8"/>
    <w:multiLevelType w:val="singleLevel"/>
    <w:tmpl w:val="73C3B632"/>
    <w:lvl w:ilvl="0">
      <w:start w:val="1"/>
      <w:numFmt w:val="decimal"/>
      <w:lvlText w:val="%1."/>
      <w:lvlJc w:val="left"/>
      <w:pPr>
        <w:tabs>
          <w:tab w:val="num" w:pos="432"/>
        </w:tabs>
        <w:ind w:left="1584" w:hanging="432"/>
      </w:pPr>
      <w:rPr>
        <w:rFonts w:ascii="Tahoma" w:hAnsi="Tahoma" w:cs="Tahoma"/>
        <w:snapToGrid/>
        <w:spacing w:val="20"/>
        <w:sz w:val="22"/>
        <w:szCs w:val="22"/>
      </w:rPr>
    </w:lvl>
  </w:abstractNum>
  <w:abstractNum w:abstractNumId="4">
    <w:nsid w:val="071C907F"/>
    <w:multiLevelType w:val="singleLevel"/>
    <w:tmpl w:val="54CB3CA4"/>
    <w:lvl w:ilvl="0">
      <w:start w:val="1"/>
      <w:numFmt w:val="decimal"/>
      <w:lvlText w:val="%1."/>
      <w:lvlJc w:val="left"/>
      <w:pPr>
        <w:tabs>
          <w:tab w:val="num" w:pos="504"/>
        </w:tabs>
        <w:ind w:left="1584" w:hanging="504"/>
      </w:pPr>
      <w:rPr>
        <w:rFonts w:ascii="Tahoma" w:hAnsi="Tahoma" w:cs="Tahoma"/>
        <w:snapToGrid/>
        <w:spacing w:val="5"/>
        <w:sz w:val="22"/>
        <w:szCs w:val="22"/>
      </w:rPr>
    </w:lvl>
  </w:abstractNum>
  <w:abstractNum w:abstractNumId="5">
    <w:nsid w:val="09372D61"/>
    <w:multiLevelType w:val="hybridMultilevel"/>
    <w:tmpl w:val="C20253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37F2C89"/>
    <w:multiLevelType w:val="hybridMultilevel"/>
    <w:tmpl w:val="60646A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8F5099"/>
    <w:multiLevelType w:val="hybridMultilevel"/>
    <w:tmpl w:val="6E1C8B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A723491"/>
    <w:multiLevelType w:val="hybridMultilevel"/>
    <w:tmpl w:val="200E195A"/>
    <w:lvl w:ilvl="0" w:tplc="DCA41186">
      <w:start w:val="1"/>
      <w:numFmt w:val="lowerLetter"/>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4795E0D"/>
    <w:multiLevelType w:val="hybridMultilevel"/>
    <w:tmpl w:val="DD0251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61D6CDB"/>
    <w:multiLevelType w:val="hybridMultilevel"/>
    <w:tmpl w:val="E1A03B4C"/>
    <w:lvl w:ilvl="0" w:tplc="240A000F">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E5B72BE"/>
    <w:multiLevelType w:val="singleLevel"/>
    <w:tmpl w:val="34DAA135"/>
    <w:lvl w:ilvl="0">
      <w:start w:val="1"/>
      <w:numFmt w:val="decimal"/>
      <w:lvlText w:val="%1."/>
      <w:lvlJc w:val="left"/>
      <w:pPr>
        <w:tabs>
          <w:tab w:val="num" w:pos="504"/>
        </w:tabs>
        <w:ind w:left="1584" w:hanging="504"/>
      </w:pPr>
      <w:rPr>
        <w:rFonts w:ascii="Tahoma" w:hAnsi="Tahoma" w:cs="Tahoma"/>
        <w:snapToGrid/>
        <w:spacing w:val="8"/>
        <w:sz w:val="22"/>
        <w:szCs w:val="22"/>
      </w:rPr>
    </w:lvl>
  </w:abstractNum>
  <w:abstractNum w:abstractNumId="12">
    <w:nsid w:val="3F8B7732"/>
    <w:multiLevelType w:val="hybridMultilevel"/>
    <w:tmpl w:val="2C52A0E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41954223"/>
    <w:multiLevelType w:val="hybridMultilevel"/>
    <w:tmpl w:val="173A89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1E41094"/>
    <w:multiLevelType w:val="hybridMultilevel"/>
    <w:tmpl w:val="6E1C8B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2FF649B"/>
    <w:multiLevelType w:val="hybridMultilevel"/>
    <w:tmpl w:val="94C259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1C076B4"/>
    <w:multiLevelType w:val="hybridMultilevel"/>
    <w:tmpl w:val="76F87B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5E15531"/>
    <w:multiLevelType w:val="hybridMultilevel"/>
    <w:tmpl w:val="250EF4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B477DEB"/>
    <w:multiLevelType w:val="hybridMultilevel"/>
    <w:tmpl w:val="C5A4B2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BBB5AFE"/>
    <w:multiLevelType w:val="hybridMultilevel"/>
    <w:tmpl w:val="B9CC358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643E7BF9"/>
    <w:multiLevelType w:val="hybridMultilevel"/>
    <w:tmpl w:val="C13486C4"/>
    <w:lvl w:ilvl="0" w:tplc="0409000F">
      <w:start w:val="1"/>
      <w:numFmt w:val="decimal"/>
      <w:lvlText w:val="34.%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D2230"/>
    <w:multiLevelType w:val="hybridMultilevel"/>
    <w:tmpl w:val="6E1C8B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22A7F9E"/>
    <w:multiLevelType w:val="hybridMultilevel"/>
    <w:tmpl w:val="65723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5575D3F"/>
    <w:multiLevelType w:val="hybridMultilevel"/>
    <w:tmpl w:val="0DA607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89E06F1"/>
    <w:multiLevelType w:val="hybridMultilevel"/>
    <w:tmpl w:val="07E65B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9B7448E"/>
    <w:multiLevelType w:val="hybridMultilevel"/>
    <w:tmpl w:val="73B430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B0410B9"/>
    <w:multiLevelType w:val="hybridMultilevel"/>
    <w:tmpl w:val="8C10A5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10"/>
  </w:num>
  <w:num w:numId="3">
    <w:abstractNumId w:val="6"/>
  </w:num>
  <w:num w:numId="4">
    <w:abstractNumId w:val="16"/>
  </w:num>
  <w:num w:numId="5">
    <w:abstractNumId w:val="23"/>
  </w:num>
  <w:num w:numId="6">
    <w:abstractNumId w:val="22"/>
  </w:num>
  <w:num w:numId="7">
    <w:abstractNumId w:val="18"/>
  </w:num>
  <w:num w:numId="8">
    <w:abstractNumId w:val="17"/>
  </w:num>
  <w:num w:numId="9">
    <w:abstractNumId w:val="15"/>
  </w:num>
  <w:num w:numId="10">
    <w:abstractNumId w:val="14"/>
  </w:num>
  <w:num w:numId="11">
    <w:abstractNumId w:val="9"/>
  </w:num>
  <w:num w:numId="12">
    <w:abstractNumId w:val="4"/>
  </w:num>
  <w:num w:numId="13">
    <w:abstractNumId w:val="2"/>
  </w:num>
  <w:num w:numId="14">
    <w:abstractNumId w:val="2"/>
    <w:lvlOverride w:ilvl="0">
      <w:lvl w:ilvl="0">
        <w:numFmt w:val="decimal"/>
        <w:lvlText w:val="%1."/>
        <w:lvlJc w:val="left"/>
        <w:pPr>
          <w:tabs>
            <w:tab w:val="num" w:pos="504"/>
          </w:tabs>
          <w:ind w:left="1584" w:hanging="504"/>
        </w:pPr>
        <w:rPr>
          <w:rFonts w:ascii="Tahoma" w:hAnsi="Tahoma" w:cs="Tahoma"/>
          <w:snapToGrid/>
          <w:spacing w:val="11"/>
          <w:sz w:val="22"/>
          <w:szCs w:val="22"/>
        </w:rPr>
      </w:lvl>
    </w:lvlOverride>
  </w:num>
  <w:num w:numId="15">
    <w:abstractNumId w:val="11"/>
  </w:num>
  <w:num w:numId="16">
    <w:abstractNumId w:val="0"/>
  </w:num>
  <w:num w:numId="17">
    <w:abstractNumId w:val="3"/>
  </w:num>
  <w:num w:numId="18">
    <w:abstractNumId w:val="7"/>
  </w:num>
  <w:num w:numId="19">
    <w:abstractNumId w:val="1"/>
  </w:num>
  <w:num w:numId="20">
    <w:abstractNumId w:val="21"/>
  </w:num>
  <w:num w:numId="21">
    <w:abstractNumId w:val="13"/>
  </w:num>
  <w:num w:numId="22">
    <w:abstractNumId w:val="24"/>
  </w:num>
  <w:num w:numId="23">
    <w:abstractNumId w:val="8"/>
  </w:num>
  <w:num w:numId="24">
    <w:abstractNumId w:val="5"/>
  </w:num>
  <w:num w:numId="25">
    <w:abstractNumId w:val="20"/>
  </w:num>
  <w:num w:numId="26">
    <w:abstractNumId w:val="25"/>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A3"/>
    <w:rsid w:val="0000001B"/>
    <w:rsid w:val="00004351"/>
    <w:rsid w:val="00013D38"/>
    <w:rsid w:val="0001486E"/>
    <w:rsid w:val="00015CA1"/>
    <w:rsid w:val="00021E25"/>
    <w:rsid w:val="000331F1"/>
    <w:rsid w:val="00052FB3"/>
    <w:rsid w:val="00064BC9"/>
    <w:rsid w:val="00077256"/>
    <w:rsid w:val="0008729A"/>
    <w:rsid w:val="000A2C85"/>
    <w:rsid w:val="000A2FDA"/>
    <w:rsid w:val="000C0103"/>
    <w:rsid w:val="000D0BA6"/>
    <w:rsid w:val="000D590D"/>
    <w:rsid w:val="000D653F"/>
    <w:rsid w:val="000E65DF"/>
    <w:rsid w:val="000F2FB6"/>
    <w:rsid w:val="00102A99"/>
    <w:rsid w:val="001063D2"/>
    <w:rsid w:val="00107693"/>
    <w:rsid w:val="001224F2"/>
    <w:rsid w:val="00134144"/>
    <w:rsid w:val="0013647C"/>
    <w:rsid w:val="0013735C"/>
    <w:rsid w:val="001453D1"/>
    <w:rsid w:val="00181401"/>
    <w:rsid w:val="00181F5E"/>
    <w:rsid w:val="00182CBD"/>
    <w:rsid w:val="001B2C6D"/>
    <w:rsid w:val="001C325C"/>
    <w:rsid w:val="001C54A5"/>
    <w:rsid w:val="001D2492"/>
    <w:rsid w:val="001D6E8B"/>
    <w:rsid w:val="0020144E"/>
    <w:rsid w:val="002114C1"/>
    <w:rsid w:val="00223589"/>
    <w:rsid w:val="00244116"/>
    <w:rsid w:val="002459F2"/>
    <w:rsid w:val="00247F27"/>
    <w:rsid w:val="00254373"/>
    <w:rsid w:val="002969E1"/>
    <w:rsid w:val="002A3B6D"/>
    <w:rsid w:val="002A5694"/>
    <w:rsid w:val="002C70AC"/>
    <w:rsid w:val="002D195A"/>
    <w:rsid w:val="00302870"/>
    <w:rsid w:val="00305549"/>
    <w:rsid w:val="00307080"/>
    <w:rsid w:val="0031182D"/>
    <w:rsid w:val="003126D8"/>
    <w:rsid w:val="0031649D"/>
    <w:rsid w:val="003239D8"/>
    <w:rsid w:val="00326EAD"/>
    <w:rsid w:val="003305B9"/>
    <w:rsid w:val="00331A5E"/>
    <w:rsid w:val="00343838"/>
    <w:rsid w:val="00351858"/>
    <w:rsid w:val="00364DB1"/>
    <w:rsid w:val="0038142C"/>
    <w:rsid w:val="0038755C"/>
    <w:rsid w:val="003948F8"/>
    <w:rsid w:val="00396638"/>
    <w:rsid w:val="003A56A5"/>
    <w:rsid w:val="003C40D8"/>
    <w:rsid w:val="003D0E69"/>
    <w:rsid w:val="003D1503"/>
    <w:rsid w:val="003F768A"/>
    <w:rsid w:val="00400CD7"/>
    <w:rsid w:val="00417933"/>
    <w:rsid w:val="00456ACE"/>
    <w:rsid w:val="0046674F"/>
    <w:rsid w:val="00471244"/>
    <w:rsid w:val="00484B26"/>
    <w:rsid w:val="00485F29"/>
    <w:rsid w:val="004A2F50"/>
    <w:rsid w:val="004B7CE8"/>
    <w:rsid w:val="004C3786"/>
    <w:rsid w:val="004F4D80"/>
    <w:rsid w:val="00501D6F"/>
    <w:rsid w:val="00507D2E"/>
    <w:rsid w:val="005150E7"/>
    <w:rsid w:val="00515E25"/>
    <w:rsid w:val="005219DA"/>
    <w:rsid w:val="00524A9F"/>
    <w:rsid w:val="00543885"/>
    <w:rsid w:val="005477E7"/>
    <w:rsid w:val="00554FFB"/>
    <w:rsid w:val="005644A7"/>
    <w:rsid w:val="00565650"/>
    <w:rsid w:val="005715EC"/>
    <w:rsid w:val="0057779A"/>
    <w:rsid w:val="00581FCC"/>
    <w:rsid w:val="005977C8"/>
    <w:rsid w:val="005B23A6"/>
    <w:rsid w:val="005B738C"/>
    <w:rsid w:val="005D2363"/>
    <w:rsid w:val="005F01A6"/>
    <w:rsid w:val="005F5FE2"/>
    <w:rsid w:val="005F6929"/>
    <w:rsid w:val="005F742F"/>
    <w:rsid w:val="00611E65"/>
    <w:rsid w:val="0062039B"/>
    <w:rsid w:val="00625C86"/>
    <w:rsid w:val="006439D9"/>
    <w:rsid w:val="00645501"/>
    <w:rsid w:val="006464E0"/>
    <w:rsid w:val="00660759"/>
    <w:rsid w:val="00673660"/>
    <w:rsid w:val="00690CB5"/>
    <w:rsid w:val="006917FA"/>
    <w:rsid w:val="006A1BA4"/>
    <w:rsid w:val="006A3DC4"/>
    <w:rsid w:val="006B671E"/>
    <w:rsid w:val="006B75E3"/>
    <w:rsid w:val="006C3A90"/>
    <w:rsid w:val="006D59B0"/>
    <w:rsid w:val="006E7429"/>
    <w:rsid w:val="006F0FE0"/>
    <w:rsid w:val="006F183F"/>
    <w:rsid w:val="006F1F44"/>
    <w:rsid w:val="00707646"/>
    <w:rsid w:val="00711840"/>
    <w:rsid w:val="00714BB1"/>
    <w:rsid w:val="00725D24"/>
    <w:rsid w:val="00731304"/>
    <w:rsid w:val="00735782"/>
    <w:rsid w:val="00744F21"/>
    <w:rsid w:val="00750874"/>
    <w:rsid w:val="00774EF6"/>
    <w:rsid w:val="00776FA3"/>
    <w:rsid w:val="007826BD"/>
    <w:rsid w:val="00785F48"/>
    <w:rsid w:val="007868DE"/>
    <w:rsid w:val="007A2F1F"/>
    <w:rsid w:val="007A7595"/>
    <w:rsid w:val="007B7409"/>
    <w:rsid w:val="007C69BF"/>
    <w:rsid w:val="007E3152"/>
    <w:rsid w:val="007F18B1"/>
    <w:rsid w:val="007F2CAA"/>
    <w:rsid w:val="007F741D"/>
    <w:rsid w:val="008010E0"/>
    <w:rsid w:val="00832131"/>
    <w:rsid w:val="0085077A"/>
    <w:rsid w:val="00861D3C"/>
    <w:rsid w:val="008638DC"/>
    <w:rsid w:val="00864AB8"/>
    <w:rsid w:val="008672C5"/>
    <w:rsid w:val="0087189F"/>
    <w:rsid w:val="00873C93"/>
    <w:rsid w:val="00892D2F"/>
    <w:rsid w:val="00895DF4"/>
    <w:rsid w:val="008A3D7A"/>
    <w:rsid w:val="008B0A63"/>
    <w:rsid w:val="008B2996"/>
    <w:rsid w:val="008E297A"/>
    <w:rsid w:val="009002BD"/>
    <w:rsid w:val="009173E9"/>
    <w:rsid w:val="0091766F"/>
    <w:rsid w:val="00932948"/>
    <w:rsid w:val="00941240"/>
    <w:rsid w:val="00956FBD"/>
    <w:rsid w:val="009641FF"/>
    <w:rsid w:val="009A412F"/>
    <w:rsid w:val="009C09AB"/>
    <w:rsid w:val="009D0736"/>
    <w:rsid w:val="009F2D0B"/>
    <w:rsid w:val="009F5F2D"/>
    <w:rsid w:val="00A05C39"/>
    <w:rsid w:val="00A130A0"/>
    <w:rsid w:val="00A501DD"/>
    <w:rsid w:val="00A511EE"/>
    <w:rsid w:val="00A522DF"/>
    <w:rsid w:val="00A555AD"/>
    <w:rsid w:val="00A96F9C"/>
    <w:rsid w:val="00AA5585"/>
    <w:rsid w:val="00AA5821"/>
    <w:rsid w:val="00AB1A9A"/>
    <w:rsid w:val="00AB2F2E"/>
    <w:rsid w:val="00AC463A"/>
    <w:rsid w:val="00B12795"/>
    <w:rsid w:val="00B168DF"/>
    <w:rsid w:val="00B17A96"/>
    <w:rsid w:val="00B21ED4"/>
    <w:rsid w:val="00B22B36"/>
    <w:rsid w:val="00B25B5F"/>
    <w:rsid w:val="00B2756F"/>
    <w:rsid w:val="00B30034"/>
    <w:rsid w:val="00B327C6"/>
    <w:rsid w:val="00B412F6"/>
    <w:rsid w:val="00B50B5A"/>
    <w:rsid w:val="00B63209"/>
    <w:rsid w:val="00B6448F"/>
    <w:rsid w:val="00B738AF"/>
    <w:rsid w:val="00B77A26"/>
    <w:rsid w:val="00B85702"/>
    <w:rsid w:val="00BA57EE"/>
    <w:rsid w:val="00BA7F58"/>
    <w:rsid w:val="00BC156F"/>
    <w:rsid w:val="00BE23A8"/>
    <w:rsid w:val="00BF0CDB"/>
    <w:rsid w:val="00BF3F13"/>
    <w:rsid w:val="00C00F1A"/>
    <w:rsid w:val="00C158CE"/>
    <w:rsid w:val="00C16B1D"/>
    <w:rsid w:val="00C263B4"/>
    <w:rsid w:val="00C37362"/>
    <w:rsid w:val="00C40E16"/>
    <w:rsid w:val="00C64A58"/>
    <w:rsid w:val="00C66432"/>
    <w:rsid w:val="00C75206"/>
    <w:rsid w:val="00C93759"/>
    <w:rsid w:val="00CA22BB"/>
    <w:rsid w:val="00CA5248"/>
    <w:rsid w:val="00CD3DA5"/>
    <w:rsid w:val="00CD6BD6"/>
    <w:rsid w:val="00D033C5"/>
    <w:rsid w:val="00D34849"/>
    <w:rsid w:val="00D40E9C"/>
    <w:rsid w:val="00D46F9A"/>
    <w:rsid w:val="00D501BF"/>
    <w:rsid w:val="00D61261"/>
    <w:rsid w:val="00D62E68"/>
    <w:rsid w:val="00D62F92"/>
    <w:rsid w:val="00D81644"/>
    <w:rsid w:val="00D832B3"/>
    <w:rsid w:val="00D837CB"/>
    <w:rsid w:val="00D93D64"/>
    <w:rsid w:val="00DB184B"/>
    <w:rsid w:val="00DB3C6D"/>
    <w:rsid w:val="00DC3201"/>
    <w:rsid w:val="00DC7309"/>
    <w:rsid w:val="00DD0AE5"/>
    <w:rsid w:val="00DD2EEB"/>
    <w:rsid w:val="00DE1CE2"/>
    <w:rsid w:val="00DF7021"/>
    <w:rsid w:val="00E260BF"/>
    <w:rsid w:val="00E30BDE"/>
    <w:rsid w:val="00E45769"/>
    <w:rsid w:val="00E510DA"/>
    <w:rsid w:val="00E569E9"/>
    <w:rsid w:val="00E56C2A"/>
    <w:rsid w:val="00E624CA"/>
    <w:rsid w:val="00E67D8E"/>
    <w:rsid w:val="00E70408"/>
    <w:rsid w:val="00E76056"/>
    <w:rsid w:val="00E813CA"/>
    <w:rsid w:val="00E85E57"/>
    <w:rsid w:val="00EA0991"/>
    <w:rsid w:val="00EA1FCB"/>
    <w:rsid w:val="00EA68DF"/>
    <w:rsid w:val="00EB6621"/>
    <w:rsid w:val="00EC11F2"/>
    <w:rsid w:val="00ED2155"/>
    <w:rsid w:val="00EE5D0A"/>
    <w:rsid w:val="00EF537E"/>
    <w:rsid w:val="00F0647A"/>
    <w:rsid w:val="00F247F3"/>
    <w:rsid w:val="00F3527D"/>
    <w:rsid w:val="00F4493E"/>
    <w:rsid w:val="00F455BE"/>
    <w:rsid w:val="00F57EA3"/>
    <w:rsid w:val="00F74851"/>
    <w:rsid w:val="00F9110C"/>
    <w:rsid w:val="00F935BE"/>
    <w:rsid w:val="00F978B7"/>
    <w:rsid w:val="00FB1CDD"/>
    <w:rsid w:val="00FD13BC"/>
    <w:rsid w:val="00FE794F"/>
    <w:rsid w:val="00FF2B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A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76FA3"/>
    <w:pPr>
      <w:keepNext/>
      <w:outlineLvl w:val="0"/>
    </w:pPr>
    <w:rPr>
      <w:rFonts w:ascii="Verdana" w:hAnsi="Verdana"/>
      <w:b/>
      <w:sz w:val="24"/>
    </w:rPr>
  </w:style>
  <w:style w:type="paragraph" w:styleId="Ttulo2">
    <w:name w:val="heading 2"/>
    <w:basedOn w:val="Normal"/>
    <w:next w:val="Normal"/>
    <w:link w:val="Ttulo2Car"/>
    <w:qFormat/>
    <w:rsid w:val="00776FA3"/>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6FA3"/>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776FA3"/>
    <w:rPr>
      <w:rFonts w:ascii="Verdana" w:eastAsia="Times New Roman" w:hAnsi="Verdana" w:cs="Times New Roman"/>
      <w:b/>
      <w:sz w:val="20"/>
      <w:szCs w:val="20"/>
      <w:lang w:val="es-ES" w:eastAsia="es-ES"/>
    </w:rPr>
  </w:style>
  <w:style w:type="character" w:styleId="Nmerodepgina">
    <w:name w:val="page number"/>
    <w:basedOn w:val="Fuentedeprrafopredeter"/>
    <w:rsid w:val="00776FA3"/>
  </w:style>
  <w:style w:type="paragraph" w:styleId="Encabezado">
    <w:name w:val="header"/>
    <w:basedOn w:val="Normal"/>
    <w:link w:val="EncabezadoCar"/>
    <w:rsid w:val="00776FA3"/>
    <w:pPr>
      <w:tabs>
        <w:tab w:val="center" w:pos="4252"/>
        <w:tab w:val="right" w:pos="8504"/>
      </w:tabs>
    </w:pPr>
  </w:style>
  <w:style w:type="character" w:customStyle="1" w:styleId="EncabezadoCar">
    <w:name w:val="Encabezado Car"/>
    <w:basedOn w:val="Fuentedeprrafopredeter"/>
    <w:link w:val="Encabezado"/>
    <w:rsid w:val="00776FA3"/>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776FA3"/>
    <w:pPr>
      <w:tabs>
        <w:tab w:val="center" w:pos="4419"/>
        <w:tab w:val="right" w:pos="8838"/>
      </w:tabs>
    </w:pPr>
  </w:style>
  <w:style w:type="character" w:customStyle="1" w:styleId="PiedepginaCar">
    <w:name w:val="Pie de página Car"/>
    <w:basedOn w:val="Fuentedeprrafopredeter"/>
    <w:link w:val="Piedepgina"/>
    <w:rsid w:val="00776FA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776FA3"/>
    <w:pPr>
      <w:jc w:val="both"/>
    </w:pPr>
    <w:rPr>
      <w:rFonts w:ascii="Tahoma" w:hAnsi="Tahoma" w:cs="Tahoma"/>
      <w:szCs w:val="24"/>
    </w:rPr>
  </w:style>
  <w:style w:type="character" w:customStyle="1" w:styleId="Textoindependiente3Car">
    <w:name w:val="Texto independiente 3 Car"/>
    <w:basedOn w:val="Fuentedeprrafopredeter"/>
    <w:link w:val="Textoindependiente3"/>
    <w:rsid w:val="00776FA3"/>
    <w:rPr>
      <w:rFonts w:ascii="Tahoma" w:eastAsia="Times New Roman" w:hAnsi="Tahoma" w:cs="Tahoma"/>
      <w:sz w:val="20"/>
      <w:szCs w:val="24"/>
      <w:lang w:val="es-ES" w:eastAsia="es-ES"/>
    </w:rPr>
  </w:style>
  <w:style w:type="character" w:styleId="Hipervnculo">
    <w:name w:val="Hyperlink"/>
    <w:basedOn w:val="Fuentedeprrafopredeter"/>
    <w:uiPriority w:val="99"/>
    <w:unhideWhenUsed/>
    <w:rsid w:val="00776FA3"/>
    <w:rPr>
      <w:color w:val="0000FF" w:themeColor="hyperlink"/>
      <w:u w:val="single"/>
    </w:rPr>
  </w:style>
  <w:style w:type="paragraph" w:styleId="Prrafodelista">
    <w:name w:val="List Paragraph"/>
    <w:basedOn w:val="Normal"/>
    <w:uiPriority w:val="34"/>
    <w:qFormat/>
    <w:rsid w:val="00776FA3"/>
    <w:pPr>
      <w:ind w:left="720"/>
      <w:contextualSpacing/>
    </w:pPr>
  </w:style>
  <w:style w:type="paragraph" w:styleId="Textoindependiente2">
    <w:name w:val="Body Text 2"/>
    <w:basedOn w:val="Normal"/>
    <w:link w:val="Textoindependiente2Car"/>
    <w:uiPriority w:val="99"/>
    <w:semiHidden/>
    <w:unhideWhenUsed/>
    <w:rsid w:val="00E56C2A"/>
    <w:pPr>
      <w:spacing w:after="120" w:line="480" w:lineRule="auto"/>
    </w:pPr>
  </w:style>
  <w:style w:type="character" w:customStyle="1" w:styleId="Textoindependiente2Car">
    <w:name w:val="Texto independiente 2 Car"/>
    <w:basedOn w:val="Fuentedeprrafopredeter"/>
    <w:link w:val="Textoindependiente2"/>
    <w:uiPriority w:val="99"/>
    <w:semiHidden/>
    <w:rsid w:val="00E56C2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168DF"/>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8DF"/>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1D2492"/>
    <w:rPr>
      <w:sz w:val="16"/>
      <w:szCs w:val="16"/>
    </w:rPr>
  </w:style>
  <w:style w:type="paragraph" w:styleId="Textocomentario">
    <w:name w:val="annotation text"/>
    <w:basedOn w:val="Normal"/>
    <w:link w:val="TextocomentarioCar"/>
    <w:uiPriority w:val="99"/>
    <w:semiHidden/>
    <w:unhideWhenUsed/>
    <w:rsid w:val="001D2492"/>
  </w:style>
  <w:style w:type="character" w:customStyle="1" w:styleId="TextocomentarioCar">
    <w:name w:val="Texto comentario Car"/>
    <w:basedOn w:val="Fuentedeprrafopredeter"/>
    <w:link w:val="Textocomentario"/>
    <w:uiPriority w:val="99"/>
    <w:semiHidden/>
    <w:rsid w:val="001D24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D2492"/>
    <w:rPr>
      <w:b/>
      <w:bCs/>
    </w:rPr>
  </w:style>
  <w:style w:type="character" w:customStyle="1" w:styleId="AsuntodelcomentarioCar">
    <w:name w:val="Asunto del comentario Car"/>
    <w:basedOn w:val="TextocomentarioCar"/>
    <w:link w:val="Asuntodelcomentario"/>
    <w:uiPriority w:val="99"/>
    <w:semiHidden/>
    <w:rsid w:val="001D2492"/>
    <w:rPr>
      <w:rFonts w:ascii="Times New Roman" w:eastAsia="Times New Roman" w:hAnsi="Times New Roman" w:cs="Times New Roman"/>
      <w:b/>
      <w:bCs/>
      <w:sz w:val="20"/>
      <w:szCs w:val="20"/>
      <w:lang w:val="es-ES" w:eastAsia="es-ES"/>
    </w:rPr>
  </w:style>
  <w:style w:type="paragraph" w:customStyle="1" w:styleId="Style1">
    <w:name w:val="Style 1"/>
    <w:basedOn w:val="Normal"/>
    <w:uiPriority w:val="99"/>
    <w:rsid w:val="00C64A58"/>
    <w:pPr>
      <w:widowControl w:val="0"/>
      <w:autoSpaceDE w:val="0"/>
      <w:autoSpaceDN w:val="0"/>
      <w:adjustRightInd w:val="0"/>
    </w:pPr>
    <w:rPr>
      <w:rFonts w:eastAsiaTheme="minorEastAsia"/>
      <w:lang w:val="en-US" w:eastAsia="es-CO"/>
    </w:rPr>
  </w:style>
  <w:style w:type="character" w:customStyle="1" w:styleId="CharacterStyle1">
    <w:name w:val="Character Style 1"/>
    <w:uiPriority w:val="99"/>
    <w:rsid w:val="00C64A58"/>
    <w:rPr>
      <w:sz w:val="20"/>
      <w:szCs w:val="20"/>
    </w:rPr>
  </w:style>
  <w:style w:type="paragraph" w:customStyle="1" w:styleId="Style2">
    <w:name w:val="Style 2"/>
    <w:basedOn w:val="Normal"/>
    <w:uiPriority w:val="99"/>
    <w:rsid w:val="00C64A58"/>
    <w:pPr>
      <w:widowControl w:val="0"/>
      <w:autoSpaceDE w:val="0"/>
      <w:autoSpaceDN w:val="0"/>
      <w:spacing w:before="72"/>
      <w:ind w:left="1584" w:right="792" w:hanging="504"/>
      <w:jc w:val="both"/>
    </w:pPr>
    <w:rPr>
      <w:rFonts w:ascii="Tahoma" w:eastAsiaTheme="minorEastAsia" w:hAnsi="Tahoma" w:cs="Tahoma"/>
      <w:sz w:val="22"/>
      <w:szCs w:val="22"/>
      <w:lang w:val="en-US" w:eastAsia="es-CO"/>
    </w:rPr>
  </w:style>
  <w:style w:type="character" w:customStyle="1" w:styleId="CharacterStyle2">
    <w:name w:val="Character Style 2"/>
    <w:uiPriority w:val="99"/>
    <w:rsid w:val="00C64A58"/>
    <w:rPr>
      <w:rFonts w:ascii="Tahoma" w:hAnsi="Tahoma" w:cs="Tahoma"/>
      <w:sz w:val="22"/>
      <w:szCs w:val="22"/>
    </w:rPr>
  </w:style>
  <w:style w:type="paragraph" w:customStyle="1" w:styleId="Style3">
    <w:name w:val="Style 3"/>
    <w:basedOn w:val="Normal"/>
    <w:uiPriority w:val="99"/>
    <w:rsid w:val="00C64A58"/>
    <w:pPr>
      <w:widowControl w:val="0"/>
      <w:autoSpaceDE w:val="0"/>
      <w:autoSpaceDN w:val="0"/>
      <w:spacing w:before="108"/>
      <w:ind w:left="1584" w:right="720" w:hanging="432"/>
      <w:jc w:val="both"/>
    </w:pPr>
    <w:rPr>
      <w:rFonts w:ascii="Tahoma" w:eastAsiaTheme="minorEastAsia" w:hAnsi="Tahoma" w:cs="Tahoma"/>
      <w:sz w:val="22"/>
      <w:szCs w:val="22"/>
      <w:lang w:val="en-US" w:eastAsia="es-CO"/>
    </w:rPr>
  </w:style>
  <w:style w:type="paragraph" w:customStyle="1" w:styleId="Style4">
    <w:name w:val="Style 4"/>
    <w:basedOn w:val="Normal"/>
    <w:uiPriority w:val="99"/>
    <w:rsid w:val="00C64A58"/>
    <w:pPr>
      <w:widowControl w:val="0"/>
      <w:autoSpaceDE w:val="0"/>
      <w:autoSpaceDN w:val="0"/>
      <w:spacing w:before="72"/>
      <w:ind w:left="1584" w:right="648" w:hanging="504"/>
    </w:pPr>
    <w:rPr>
      <w:rFonts w:ascii="Tahoma" w:eastAsiaTheme="minorEastAsia" w:hAnsi="Tahoma" w:cs="Tahoma"/>
      <w:sz w:val="22"/>
      <w:szCs w:val="22"/>
      <w:lang w:val="en-US" w:eastAsia="es-CO"/>
    </w:rPr>
  </w:style>
  <w:style w:type="paragraph" w:styleId="Sinespaciado">
    <w:name w:val="No Spacing"/>
    <w:uiPriority w:val="1"/>
    <w:qFormat/>
    <w:rsid w:val="003948F8"/>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A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76FA3"/>
    <w:pPr>
      <w:keepNext/>
      <w:outlineLvl w:val="0"/>
    </w:pPr>
    <w:rPr>
      <w:rFonts w:ascii="Verdana" w:hAnsi="Verdana"/>
      <w:b/>
      <w:sz w:val="24"/>
    </w:rPr>
  </w:style>
  <w:style w:type="paragraph" w:styleId="Ttulo2">
    <w:name w:val="heading 2"/>
    <w:basedOn w:val="Normal"/>
    <w:next w:val="Normal"/>
    <w:link w:val="Ttulo2Car"/>
    <w:qFormat/>
    <w:rsid w:val="00776FA3"/>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6FA3"/>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776FA3"/>
    <w:rPr>
      <w:rFonts w:ascii="Verdana" w:eastAsia="Times New Roman" w:hAnsi="Verdana" w:cs="Times New Roman"/>
      <w:b/>
      <w:sz w:val="20"/>
      <w:szCs w:val="20"/>
      <w:lang w:val="es-ES" w:eastAsia="es-ES"/>
    </w:rPr>
  </w:style>
  <w:style w:type="character" w:styleId="Nmerodepgina">
    <w:name w:val="page number"/>
    <w:basedOn w:val="Fuentedeprrafopredeter"/>
    <w:rsid w:val="00776FA3"/>
  </w:style>
  <w:style w:type="paragraph" w:styleId="Encabezado">
    <w:name w:val="header"/>
    <w:basedOn w:val="Normal"/>
    <w:link w:val="EncabezadoCar"/>
    <w:rsid w:val="00776FA3"/>
    <w:pPr>
      <w:tabs>
        <w:tab w:val="center" w:pos="4252"/>
        <w:tab w:val="right" w:pos="8504"/>
      </w:tabs>
    </w:pPr>
  </w:style>
  <w:style w:type="character" w:customStyle="1" w:styleId="EncabezadoCar">
    <w:name w:val="Encabezado Car"/>
    <w:basedOn w:val="Fuentedeprrafopredeter"/>
    <w:link w:val="Encabezado"/>
    <w:rsid w:val="00776FA3"/>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776FA3"/>
    <w:pPr>
      <w:tabs>
        <w:tab w:val="center" w:pos="4419"/>
        <w:tab w:val="right" w:pos="8838"/>
      </w:tabs>
    </w:pPr>
  </w:style>
  <w:style w:type="character" w:customStyle="1" w:styleId="PiedepginaCar">
    <w:name w:val="Pie de página Car"/>
    <w:basedOn w:val="Fuentedeprrafopredeter"/>
    <w:link w:val="Piedepgina"/>
    <w:rsid w:val="00776FA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776FA3"/>
    <w:pPr>
      <w:jc w:val="both"/>
    </w:pPr>
    <w:rPr>
      <w:rFonts w:ascii="Tahoma" w:hAnsi="Tahoma" w:cs="Tahoma"/>
      <w:szCs w:val="24"/>
    </w:rPr>
  </w:style>
  <w:style w:type="character" w:customStyle="1" w:styleId="Textoindependiente3Car">
    <w:name w:val="Texto independiente 3 Car"/>
    <w:basedOn w:val="Fuentedeprrafopredeter"/>
    <w:link w:val="Textoindependiente3"/>
    <w:rsid w:val="00776FA3"/>
    <w:rPr>
      <w:rFonts w:ascii="Tahoma" w:eastAsia="Times New Roman" w:hAnsi="Tahoma" w:cs="Tahoma"/>
      <w:sz w:val="20"/>
      <w:szCs w:val="24"/>
      <w:lang w:val="es-ES" w:eastAsia="es-ES"/>
    </w:rPr>
  </w:style>
  <w:style w:type="character" w:styleId="Hipervnculo">
    <w:name w:val="Hyperlink"/>
    <w:basedOn w:val="Fuentedeprrafopredeter"/>
    <w:uiPriority w:val="99"/>
    <w:unhideWhenUsed/>
    <w:rsid w:val="00776FA3"/>
    <w:rPr>
      <w:color w:val="0000FF" w:themeColor="hyperlink"/>
      <w:u w:val="single"/>
    </w:rPr>
  </w:style>
  <w:style w:type="paragraph" w:styleId="Prrafodelista">
    <w:name w:val="List Paragraph"/>
    <w:basedOn w:val="Normal"/>
    <w:uiPriority w:val="34"/>
    <w:qFormat/>
    <w:rsid w:val="00776FA3"/>
    <w:pPr>
      <w:ind w:left="720"/>
      <w:contextualSpacing/>
    </w:pPr>
  </w:style>
  <w:style w:type="paragraph" w:styleId="Textoindependiente2">
    <w:name w:val="Body Text 2"/>
    <w:basedOn w:val="Normal"/>
    <w:link w:val="Textoindependiente2Car"/>
    <w:uiPriority w:val="99"/>
    <w:semiHidden/>
    <w:unhideWhenUsed/>
    <w:rsid w:val="00E56C2A"/>
    <w:pPr>
      <w:spacing w:after="120" w:line="480" w:lineRule="auto"/>
    </w:pPr>
  </w:style>
  <w:style w:type="character" w:customStyle="1" w:styleId="Textoindependiente2Car">
    <w:name w:val="Texto independiente 2 Car"/>
    <w:basedOn w:val="Fuentedeprrafopredeter"/>
    <w:link w:val="Textoindependiente2"/>
    <w:uiPriority w:val="99"/>
    <w:semiHidden/>
    <w:rsid w:val="00E56C2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168DF"/>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8DF"/>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1D2492"/>
    <w:rPr>
      <w:sz w:val="16"/>
      <w:szCs w:val="16"/>
    </w:rPr>
  </w:style>
  <w:style w:type="paragraph" w:styleId="Textocomentario">
    <w:name w:val="annotation text"/>
    <w:basedOn w:val="Normal"/>
    <w:link w:val="TextocomentarioCar"/>
    <w:uiPriority w:val="99"/>
    <w:semiHidden/>
    <w:unhideWhenUsed/>
    <w:rsid w:val="001D2492"/>
  </w:style>
  <w:style w:type="character" w:customStyle="1" w:styleId="TextocomentarioCar">
    <w:name w:val="Texto comentario Car"/>
    <w:basedOn w:val="Fuentedeprrafopredeter"/>
    <w:link w:val="Textocomentario"/>
    <w:uiPriority w:val="99"/>
    <w:semiHidden/>
    <w:rsid w:val="001D24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D2492"/>
    <w:rPr>
      <w:b/>
      <w:bCs/>
    </w:rPr>
  </w:style>
  <w:style w:type="character" w:customStyle="1" w:styleId="AsuntodelcomentarioCar">
    <w:name w:val="Asunto del comentario Car"/>
    <w:basedOn w:val="TextocomentarioCar"/>
    <w:link w:val="Asuntodelcomentario"/>
    <w:uiPriority w:val="99"/>
    <w:semiHidden/>
    <w:rsid w:val="001D2492"/>
    <w:rPr>
      <w:rFonts w:ascii="Times New Roman" w:eastAsia="Times New Roman" w:hAnsi="Times New Roman" w:cs="Times New Roman"/>
      <w:b/>
      <w:bCs/>
      <w:sz w:val="20"/>
      <w:szCs w:val="20"/>
      <w:lang w:val="es-ES" w:eastAsia="es-ES"/>
    </w:rPr>
  </w:style>
  <w:style w:type="paragraph" w:customStyle="1" w:styleId="Style1">
    <w:name w:val="Style 1"/>
    <w:basedOn w:val="Normal"/>
    <w:uiPriority w:val="99"/>
    <w:rsid w:val="00C64A58"/>
    <w:pPr>
      <w:widowControl w:val="0"/>
      <w:autoSpaceDE w:val="0"/>
      <w:autoSpaceDN w:val="0"/>
      <w:adjustRightInd w:val="0"/>
    </w:pPr>
    <w:rPr>
      <w:rFonts w:eastAsiaTheme="minorEastAsia"/>
      <w:lang w:val="en-US" w:eastAsia="es-CO"/>
    </w:rPr>
  </w:style>
  <w:style w:type="character" w:customStyle="1" w:styleId="CharacterStyle1">
    <w:name w:val="Character Style 1"/>
    <w:uiPriority w:val="99"/>
    <w:rsid w:val="00C64A58"/>
    <w:rPr>
      <w:sz w:val="20"/>
      <w:szCs w:val="20"/>
    </w:rPr>
  </w:style>
  <w:style w:type="paragraph" w:customStyle="1" w:styleId="Style2">
    <w:name w:val="Style 2"/>
    <w:basedOn w:val="Normal"/>
    <w:uiPriority w:val="99"/>
    <w:rsid w:val="00C64A58"/>
    <w:pPr>
      <w:widowControl w:val="0"/>
      <w:autoSpaceDE w:val="0"/>
      <w:autoSpaceDN w:val="0"/>
      <w:spacing w:before="72"/>
      <w:ind w:left="1584" w:right="792" w:hanging="504"/>
      <w:jc w:val="both"/>
    </w:pPr>
    <w:rPr>
      <w:rFonts w:ascii="Tahoma" w:eastAsiaTheme="minorEastAsia" w:hAnsi="Tahoma" w:cs="Tahoma"/>
      <w:sz w:val="22"/>
      <w:szCs w:val="22"/>
      <w:lang w:val="en-US" w:eastAsia="es-CO"/>
    </w:rPr>
  </w:style>
  <w:style w:type="character" w:customStyle="1" w:styleId="CharacterStyle2">
    <w:name w:val="Character Style 2"/>
    <w:uiPriority w:val="99"/>
    <w:rsid w:val="00C64A58"/>
    <w:rPr>
      <w:rFonts w:ascii="Tahoma" w:hAnsi="Tahoma" w:cs="Tahoma"/>
      <w:sz w:val="22"/>
      <w:szCs w:val="22"/>
    </w:rPr>
  </w:style>
  <w:style w:type="paragraph" w:customStyle="1" w:styleId="Style3">
    <w:name w:val="Style 3"/>
    <w:basedOn w:val="Normal"/>
    <w:uiPriority w:val="99"/>
    <w:rsid w:val="00C64A58"/>
    <w:pPr>
      <w:widowControl w:val="0"/>
      <w:autoSpaceDE w:val="0"/>
      <w:autoSpaceDN w:val="0"/>
      <w:spacing w:before="108"/>
      <w:ind w:left="1584" w:right="720" w:hanging="432"/>
      <w:jc w:val="both"/>
    </w:pPr>
    <w:rPr>
      <w:rFonts w:ascii="Tahoma" w:eastAsiaTheme="minorEastAsia" w:hAnsi="Tahoma" w:cs="Tahoma"/>
      <w:sz w:val="22"/>
      <w:szCs w:val="22"/>
      <w:lang w:val="en-US" w:eastAsia="es-CO"/>
    </w:rPr>
  </w:style>
  <w:style w:type="paragraph" w:customStyle="1" w:styleId="Style4">
    <w:name w:val="Style 4"/>
    <w:basedOn w:val="Normal"/>
    <w:uiPriority w:val="99"/>
    <w:rsid w:val="00C64A58"/>
    <w:pPr>
      <w:widowControl w:val="0"/>
      <w:autoSpaceDE w:val="0"/>
      <w:autoSpaceDN w:val="0"/>
      <w:spacing w:before="72"/>
      <w:ind w:left="1584" w:right="648" w:hanging="504"/>
    </w:pPr>
    <w:rPr>
      <w:rFonts w:ascii="Tahoma" w:eastAsiaTheme="minorEastAsia" w:hAnsi="Tahoma" w:cs="Tahoma"/>
      <w:sz w:val="22"/>
      <w:szCs w:val="22"/>
      <w:lang w:val="en-US" w:eastAsia="es-CO"/>
    </w:rPr>
  </w:style>
  <w:style w:type="paragraph" w:styleId="Sinespaciado">
    <w:name w:val="No Spacing"/>
    <w:uiPriority w:val="1"/>
    <w:qFormat/>
    <w:rsid w:val="003948F8"/>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85EFD-54A4-410A-B16E-FE3D5FD7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1474</Words>
  <Characters>8108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Jose Alejandro Bastidas Rodriguez</cp:lastModifiedBy>
  <cp:revision>6</cp:revision>
  <cp:lastPrinted>2016-04-04T21:23:00Z</cp:lastPrinted>
  <dcterms:created xsi:type="dcterms:W3CDTF">2016-04-04T21:00:00Z</dcterms:created>
  <dcterms:modified xsi:type="dcterms:W3CDTF">2016-04-05T17:13:00Z</dcterms:modified>
</cp:coreProperties>
</file>