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22" w:rsidRDefault="0075210E" w:rsidP="00C17302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75210E">
        <w:rPr>
          <w:b/>
        </w:rPr>
        <w:t>M</w:t>
      </w:r>
      <w:r>
        <w:rPr>
          <w:b/>
        </w:rPr>
        <w:t>INISTERIO DE EDUCACIÓN NACIONAL</w:t>
      </w:r>
    </w:p>
    <w:p w:rsidR="0075210E" w:rsidRPr="0075210E" w:rsidRDefault="0075210E" w:rsidP="00C17302">
      <w:pPr>
        <w:spacing w:after="0" w:line="240" w:lineRule="auto"/>
        <w:jc w:val="center"/>
        <w:rPr>
          <w:b/>
        </w:rPr>
      </w:pPr>
      <w:r>
        <w:rPr>
          <w:b/>
        </w:rPr>
        <w:t>CONVOCATORIA  EDUCACIÓN MEDIA PARA TODOS</w:t>
      </w:r>
    </w:p>
    <w:p w:rsidR="0075210E" w:rsidRDefault="009D4735" w:rsidP="00C17302">
      <w:pPr>
        <w:spacing w:after="0" w:line="240" w:lineRule="auto"/>
        <w:jc w:val="center"/>
        <w:rPr>
          <w:b/>
        </w:rPr>
      </w:pPr>
      <w:r>
        <w:rPr>
          <w:b/>
        </w:rPr>
        <w:t>FORMATO</w:t>
      </w:r>
      <w:r w:rsidR="00F94C47">
        <w:rPr>
          <w:b/>
        </w:rPr>
        <w:t xml:space="preserve"> 3</w:t>
      </w:r>
      <w:r>
        <w:rPr>
          <w:b/>
        </w:rPr>
        <w:t xml:space="preserve"> – </w:t>
      </w:r>
      <w:r w:rsidR="008B75E3">
        <w:rPr>
          <w:b/>
        </w:rPr>
        <w:t>INFORMACIÓN POR SEDES BENEFICIADAS CON</w:t>
      </w:r>
      <w:r w:rsidR="00F94C47">
        <w:rPr>
          <w:b/>
        </w:rPr>
        <w:t xml:space="preserve"> LA </w:t>
      </w:r>
      <w:r w:rsidR="00C17302">
        <w:rPr>
          <w:b/>
        </w:rPr>
        <w:t>PROPUESTA</w:t>
      </w:r>
      <w:r w:rsidR="00021C6F">
        <w:rPr>
          <w:b/>
        </w:rPr>
        <w:t xml:space="preserve"> D</w:t>
      </w:r>
      <w:r w:rsidR="008B75E3">
        <w:rPr>
          <w:b/>
        </w:rPr>
        <w:t>E</w:t>
      </w:r>
      <w:r w:rsidR="00021C6F">
        <w:rPr>
          <w:b/>
        </w:rPr>
        <w:t xml:space="preserve"> </w:t>
      </w:r>
      <w:r w:rsidR="008B75E3">
        <w:rPr>
          <w:b/>
        </w:rPr>
        <w:t>LA ETC</w:t>
      </w:r>
    </w:p>
    <w:p w:rsidR="00C17302" w:rsidRPr="0075210E" w:rsidRDefault="00C17302" w:rsidP="00C17302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14219" w:type="dxa"/>
        <w:tblInd w:w="-459" w:type="dxa"/>
        <w:tblLayout w:type="fixed"/>
        <w:tblLook w:val="0420" w:firstRow="1" w:lastRow="0" w:firstColumn="0" w:lastColumn="0" w:noHBand="0" w:noVBand="1"/>
      </w:tblPr>
      <w:tblGrid>
        <w:gridCol w:w="1280"/>
        <w:gridCol w:w="1407"/>
        <w:gridCol w:w="1152"/>
        <w:gridCol w:w="1848"/>
        <w:gridCol w:w="1422"/>
        <w:gridCol w:w="1422"/>
        <w:gridCol w:w="1422"/>
        <w:gridCol w:w="710"/>
        <w:gridCol w:w="712"/>
        <w:gridCol w:w="1422"/>
        <w:gridCol w:w="1422"/>
      </w:tblGrid>
      <w:tr w:rsidR="00636F9E" w:rsidRPr="006C06D1">
        <w:trPr>
          <w:trHeight w:val="689"/>
        </w:trPr>
        <w:tc>
          <w:tcPr>
            <w:tcW w:w="1280" w:type="dxa"/>
            <w:vMerge w:val="restart"/>
          </w:tcPr>
          <w:p w:rsidR="00636F9E" w:rsidRPr="006C06D1" w:rsidRDefault="00636F9E" w:rsidP="006C06D1">
            <w:pPr>
              <w:pStyle w:val="Prrafodelista"/>
              <w:numPr>
                <w:ilvl w:val="0"/>
                <w:numId w:val="5"/>
              </w:num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Código DANE de la sede</w:t>
            </w:r>
          </w:p>
        </w:tc>
        <w:tc>
          <w:tcPr>
            <w:tcW w:w="1407" w:type="dxa"/>
            <w:vMerge w:val="restart"/>
          </w:tcPr>
          <w:p w:rsidR="00636F9E" w:rsidRPr="006C06D1" w:rsidRDefault="00636F9E" w:rsidP="006C06D1">
            <w:pPr>
              <w:pStyle w:val="Prrafodelista"/>
              <w:numPr>
                <w:ilvl w:val="0"/>
                <w:numId w:val="5"/>
              </w:num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Problemática de la SEDE</w:t>
            </w:r>
          </w:p>
        </w:tc>
        <w:tc>
          <w:tcPr>
            <w:tcW w:w="1152" w:type="dxa"/>
            <w:vMerge w:val="restart"/>
            <w:vAlign w:val="center"/>
          </w:tcPr>
          <w:p w:rsidR="00636F9E" w:rsidRPr="006C06D1" w:rsidRDefault="00636F9E" w:rsidP="006C06D1">
            <w:pPr>
              <w:pStyle w:val="Prrafodelista"/>
              <w:numPr>
                <w:ilvl w:val="0"/>
                <w:numId w:val="5"/>
              </w:numPr>
              <w:jc w:val="center"/>
              <w:rPr>
                <w:b/>
                <w:sz w:val="16"/>
              </w:rPr>
            </w:pPr>
            <w:r w:rsidRPr="006C06D1">
              <w:rPr>
                <w:b/>
                <w:sz w:val="16"/>
              </w:rPr>
              <w:t>Estrategias</w:t>
            </w:r>
          </w:p>
        </w:tc>
        <w:tc>
          <w:tcPr>
            <w:tcW w:w="1848" w:type="dxa"/>
            <w:vMerge w:val="restart"/>
            <w:vAlign w:val="center"/>
          </w:tcPr>
          <w:p w:rsidR="00636F9E" w:rsidRPr="006C06D1" w:rsidRDefault="00636F9E" w:rsidP="006C06D1">
            <w:pPr>
              <w:pStyle w:val="Prrafodelista"/>
              <w:numPr>
                <w:ilvl w:val="0"/>
                <w:numId w:val="5"/>
              </w:numPr>
              <w:jc w:val="center"/>
              <w:rPr>
                <w:b/>
                <w:bCs/>
                <w:sz w:val="16"/>
                <w:lang w:val="es-ES"/>
              </w:rPr>
            </w:pPr>
            <w:r w:rsidRPr="006C06D1">
              <w:rPr>
                <w:b/>
                <w:bCs/>
                <w:sz w:val="16"/>
                <w:lang w:val="es-ES"/>
              </w:rPr>
              <w:t>Acciones propuestas</w:t>
            </w:r>
          </w:p>
        </w:tc>
        <w:tc>
          <w:tcPr>
            <w:tcW w:w="1422" w:type="dxa"/>
            <w:vMerge w:val="restart"/>
            <w:vAlign w:val="center"/>
          </w:tcPr>
          <w:p w:rsidR="00636F9E" w:rsidRPr="006C06D1" w:rsidRDefault="00636F9E" w:rsidP="00212CB4">
            <w:pPr>
              <w:pStyle w:val="Prrafodelista"/>
              <w:numPr>
                <w:ilvl w:val="0"/>
                <w:numId w:val="5"/>
              </w:numPr>
              <w:jc w:val="center"/>
              <w:rPr>
                <w:b/>
                <w:sz w:val="16"/>
              </w:rPr>
            </w:pPr>
            <w:r w:rsidRPr="006C06D1">
              <w:rPr>
                <w:b/>
                <w:bCs/>
                <w:sz w:val="16"/>
                <w:lang w:val="es-ES"/>
              </w:rPr>
              <w:t xml:space="preserve">Actividades </w:t>
            </w:r>
          </w:p>
        </w:tc>
        <w:tc>
          <w:tcPr>
            <w:tcW w:w="1422" w:type="dxa"/>
            <w:vMerge w:val="restart"/>
          </w:tcPr>
          <w:p w:rsidR="00636F9E" w:rsidRPr="006C06D1" w:rsidRDefault="00636F9E" w:rsidP="00212CB4">
            <w:pPr>
              <w:pStyle w:val="Prrafodelista"/>
              <w:numPr>
                <w:ilvl w:val="0"/>
                <w:numId w:val="5"/>
              </w:numPr>
              <w:jc w:val="center"/>
              <w:rPr>
                <w:b/>
                <w:bCs/>
                <w:sz w:val="16"/>
                <w:lang w:val="es-ES"/>
              </w:rPr>
            </w:pPr>
            <w:r>
              <w:rPr>
                <w:b/>
                <w:bCs/>
                <w:sz w:val="16"/>
                <w:lang w:val="es-ES"/>
              </w:rPr>
              <w:t>Explicación de las actividades</w:t>
            </w:r>
          </w:p>
        </w:tc>
        <w:tc>
          <w:tcPr>
            <w:tcW w:w="1422" w:type="dxa"/>
            <w:vMerge w:val="restart"/>
          </w:tcPr>
          <w:p w:rsidR="00636F9E" w:rsidRPr="006C06D1" w:rsidRDefault="00636F9E" w:rsidP="006C06D1">
            <w:pPr>
              <w:pStyle w:val="Prrafodelista"/>
              <w:numPr>
                <w:ilvl w:val="0"/>
                <w:numId w:val="5"/>
              </w:numPr>
              <w:jc w:val="center"/>
              <w:rPr>
                <w:b/>
                <w:bCs/>
                <w:sz w:val="16"/>
                <w:lang w:val="es-ES"/>
              </w:rPr>
            </w:pPr>
            <w:r w:rsidRPr="006C06D1">
              <w:rPr>
                <w:b/>
                <w:bCs/>
                <w:sz w:val="16"/>
                <w:lang w:val="es-ES"/>
              </w:rPr>
              <w:t>Meta de jóvenes beneficiados</w:t>
            </w:r>
          </w:p>
          <w:p w:rsidR="00636F9E" w:rsidRPr="006C06D1" w:rsidRDefault="00636F9E" w:rsidP="006C06D1">
            <w:pPr>
              <w:rPr>
                <w:sz w:val="16"/>
                <w:lang w:val="es-ES"/>
              </w:rPr>
            </w:pPr>
          </w:p>
          <w:p w:rsidR="00636F9E" w:rsidRPr="006C06D1" w:rsidRDefault="00636F9E" w:rsidP="006C06D1">
            <w:pPr>
              <w:jc w:val="center"/>
              <w:rPr>
                <w:sz w:val="16"/>
                <w:lang w:val="es-ES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636F9E" w:rsidRPr="006C06D1" w:rsidRDefault="00636F9E" w:rsidP="006C06D1">
            <w:pPr>
              <w:pStyle w:val="Prrafodelista"/>
              <w:numPr>
                <w:ilvl w:val="0"/>
                <w:numId w:val="5"/>
              </w:numPr>
              <w:jc w:val="center"/>
              <w:rPr>
                <w:b/>
                <w:sz w:val="16"/>
              </w:rPr>
            </w:pPr>
            <w:r w:rsidRPr="006C06D1">
              <w:rPr>
                <w:b/>
                <w:bCs/>
                <w:sz w:val="16"/>
                <w:lang w:val="es-ES"/>
              </w:rPr>
              <w:t>Fecha de ejecución</w:t>
            </w:r>
          </w:p>
        </w:tc>
        <w:tc>
          <w:tcPr>
            <w:tcW w:w="1422" w:type="dxa"/>
            <w:vMerge w:val="restart"/>
            <w:vAlign w:val="center"/>
          </w:tcPr>
          <w:p w:rsidR="00636F9E" w:rsidRPr="006C06D1" w:rsidRDefault="00636F9E" w:rsidP="006C06D1">
            <w:pPr>
              <w:pStyle w:val="Prrafodelista"/>
              <w:numPr>
                <w:ilvl w:val="0"/>
                <w:numId w:val="5"/>
              </w:numPr>
              <w:jc w:val="center"/>
              <w:rPr>
                <w:b/>
                <w:sz w:val="16"/>
              </w:rPr>
            </w:pPr>
            <w:r w:rsidRPr="006C06D1">
              <w:rPr>
                <w:b/>
                <w:sz w:val="16"/>
              </w:rPr>
              <w:t>Responsable</w:t>
            </w:r>
          </w:p>
        </w:tc>
        <w:tc>
          <w:tcPr>
            <w:tcW w:w="1422" w:type="dxa"/>
            <w:vMerge w:val="restart"/>
            <w:vAlign w:val="center"/>
          </w:tcPr>
          <w:p w:rsidR="00636F9E" w:rsidRPr="006C06D1" w:rsidRDefault="00636F9E" w:rsidP="006C06D1">
            <w:pPr>
              <w:pStyle w:val="Prrafodelista"/>
              <w:numPr>
                <w:ilvl w:val="0"/>
                <w:numId w:val="5"/>
              </w:numPr>
              <w:jc w:val="center"/>
              <w:rPr>
                <w:b/>
                <w:sz w:val="16"/>
              </w:rPr>
            </w:pPr>
            <w:r w:rsidRPr="006C06D1">
              <w:rPr>
                <w:b/>
                <w:sz w:val="16"/>
              </w:rPr>
              <w:t>Evidencia</w:t>
            </w:r>
          </w:p>
        </w:tc>
      </w:tr>
      <w:tr w:rsidR="00636F9E" w:rsidRPr="006C06D1">
        <w:trPr>
          <w:trHeight w:val="689"/>
        </w:trPr>
        <w:tc>
          <w:tcPr>
            <w:tcW w:w="1280" w:type="dxa"/>
            <w:vMerge/>
            <w:tcBorders>
              <w:bottom w:val="single" w:sz="4" w:space="0" w:color="auto"/>
            </w:tcBorders>
          </w:tcPr>
          <w:p w:rsidR="00636F9E" w:rsidRPr="006C06D1" w:rsidRDefault="00636F9E" w:rsidP="00DE4B60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  <w:sz w:val="16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</w:tcPr>
          <w:p w:rsidR="00636F9E" w:rsidRPr="006C06D1" w:rsidRDefault="00636F9E" w:rsidP="00DE4B60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  <w:sz w:val="16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  <w:vAlign w:val="center"/>
          </w:tcPr>
          <w:p w:rsidR="00636F9E" w:rsidRPr="006C06D1" w:rsidRDefault="00636F9E" w:rsidP="00DE4B60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  <w:sz w:val="16"/>
              </w:rPr>
            </w:pP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vAlign w:val="center"/>
          </w:tcPr>
          <w:p w:rsidR="00636F9E" w:rsidRPr="006C06D1" w:rsidRDefault="00636F9E" w:rsidP="00DE4B60">
            <w:pPr>
              <w:pStyle w:val="Prrafodelista"/>
              <w:numPr>
                <w:ilvl w:val="0"/>
                <w:numId w:val="3"/>
              </w:numPr>
              <w:ind w:left="8" w:firstLine="0"/>
              <w:jc w:val="center"/>
              <w:rPr>
                <w:b/>
                <w:bCs/>
                <w:sz w:val="16"/>
                <w:lang w:val="es-ES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  <w:vAlign w:val="center"/>
          </w:tcPr>
          <w:p w:rsidR="00636F9E" w:rsidRPr="006C06D1" w:rsidRDefault="00636F9E" w:rsidP="00DE4B60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  <w:bCs/>
                <w:sz w:val="16"/>
                <w:lang w:val="es-ES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636F9E" w:rsidRPr="006C06D1" w:rsidRDefault="00636F9E" w:rsidP="00A3298C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  <w:bCs/>
                <w:sz w:val="16"/>
                <w:lang w:val="es-ES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636F9E" w:rsidRPr="006C06D1" w:rsidRDefault="00636F9E" w:rsidP="00A3298C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  <w:bCs/>
                <w:sz w:val="16"/>
                <w:lang w:val="es-E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36F9E" w:rsidRPr="006C06D1" w:rsidRDefault="00636F9E" w:rsidP="00636F9E">
            <w:pPr>
              <w:pStyle w:val="Prrafodelista"/>
              <w:ind w:left="0"/>
              <w:jc w:val="center"/>
              <w:rPr>
                <w:b/>
                <w:bCs/>
                <w:sz w:val="16"/>
                <w:lang w:val="es-ES"/>
              </w:rPr>
            </w:pPr>
            <w:r>
              <w:rPr>
                <w:b/>
                <w:bCs/>
                <w:sz w:val="16"/>
                <w:lang w:val="es-ES"/>
              </w:rPr>
              <w:t>Inicio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36F9E" w:rsidRPr="00636F9E" w:rsidRDefault="00636F9E" w:rsidP="00636F9E">
            <w:pPr>
              <w:jc w:val="center"/>
              <w:rPr>
                <w:b/>
                <w:bCs/>
                <w:sz w:val="16"/>
                <w:lang w:val="es-ES"/>
              </w:rPr>
            </w:pPr>
            <w:r>
              <w:rPr>
                <w:b/>
                <w:bCs/>
                <w:sz w:val="16"/>
                <w:lang w:val="es-ES"/>
              </w:rPr>
              <w:t>Fin</w:t>
            </w:r>
          </w:p>
        </w:tc>
        <w:tc>
          <w:tcPr>
            <w:tcW w:w="1422" w:type="dxa"/>
            <w:vMerge/>
            <w:tcBorders>
              <w:bottom w:val="single" w:sz="4" w:space="0" w:color="auto"/>
            </w:tcBorders>
            <w:vAlign w:val="center"/>
          </w:tcPr>
          <w:p w:rsidR="00636F9E" w:rsidRPr="006C06D1" w:rsidRDefault="00636F9E" w:rsidP="00DE4B60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  <w:sz w:val="16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  <w:vAlign w:val="center"/>
          </w:tcPr>
          <w:p w:rsidR="00636F9E" w:rsidRPr="006C06D1" w:rsidRDefault="00636F9E" w:rsidP="00DA0FFB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  <w:sz w:val="16"/>
              </w:rPr>
            </w:pPr>
          </w:p>
        </w:tc>
      </w:tr>
      <w:tr w:rsidR="00636F9E" w:rsidRPr="006C06D1">
        <w:trPr>
          <w:trHeight w:val="282"/>
        </w:trPr>
        <w:tc>
          <w:tcPr>
            <w:tcW w:w="1280" w:type="dxa"/>
            <w:vMerge w:val="restart"/>
          </w:tcPr>
          <w:p w:rsidR="00636F9E" w:rsidRPr="006C06D1" w:rsidRDefault="00636F9E" w:rsidP="0075210E">
            <w:pPr>
              <w:jc w:val="center"/>
              <w:rPr>
                <w:sz w:val="16"/>
                <w:lang w:val="es-ES"/>
              </w:rPr>
            </w:pPr>
          </w:p>
        </w:tc>
        <w:tc>
          <w:tcPr>
            <w:tcW w:w="1407" w:type="dxa"/>
            <w:vMerge w:val="restart"/>
          </w:tcPr>
          <w:p w:rsidR="00636F9E" w:rsidRPr="006C06D1" w:rsidRDefault="00636F9E" w:rsidP="00636F9E">
            <w:pPr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 xml:space="preserve">Acceso: </w:t>
            </w:r>
          </w:p>
        </w:tc>
        <w:tc>
          <w:tcPr>
            <w:tcW w:w="1152" w:type="dxa"/>
            <w:vMerge w:val="restart"/>
            <w:vAlign w:val="center"/>
          </w:tcPr>
          <w:p w:rsidR="00636F9E" w:rsidRPr="006C06D1" w:rsidRDefault="00636F9E" w:rsidP="0075210E">
            <w:pPr>
              <w:spacing w:after="200" w:line="276" w:lineRule="auto"/>
              <w:jc w:val="center"/>
              <w:rPr>
                <w:sz w:val="16"/>
              </w:rPr>
            </w:pPr>
            <w:r w:rsidRPr="006C06D1">
              <w:rPr>
                <w:sz w:val="16"/>
                <w:lang w:val="es-ES"/>
              </w:rPr>
              <w:t>1. Acciones para aumentar matrícula</w:t>
            </w:r>
          </w:p>
        </w:tc>
        <w:tc>
          <w:tcPr>
            <w:tcW w:w="1848" w:type="dxa"/>
            <w:vMerge w:val="restart"/>
          </w:tcPr>
          <w:p w:rsidR="00636F9E" w:rsidRPr="006C06D1" w:rsidRDefault="00636F9E" w:rsidP="00DE4B60">
            <w:pPr>
              <w:jc w:val="both"/>
              <w:rPr>
                <w:sz w:val="16"/>
                <w:szCs w:val="20"/>
              </w:rPr>
            </w:pPr>
            <w:r w:rsidRPr="006C06D1">
              <w:rPr>
                <w:sz w:val="16"/>
                <w:szCs w:val="20"/>
              </w:rPr>
              <w:t>1.1</w:t>
            </w:r>
            <w:r w:rsidRPr="006C06D1">
              <w:rPr>
                <w:rFonts w:ascii="Calibri" w:eastAsia="Calibri" w:hAnsi="Calibri" w:cs="Calibri"/>
                <w:color w:val="000000" w:themeColor="dark1"/>
                <w:sz w:val="16"/>
                <w:szCs w:val="20"/>
                <w:lang w:val="es-ES"/>
              </w:rPr>
              <w:t xml:space="preserve"> </w:t>
            </w:r>
            <w:r w:rsidRPr="006C06D1">
              <w:rPr>
                <w:sz w:val="16"/>
                <w:szCs w:val="20"/>
                <w:lang w:val="es-ES"/>
              </w:rPr>
              <w:t>Búsqueda activa de estudiantes</w:t>
            </w:r>
          </w:p>
        </w:tc>
        <w:tc>
          <w:tcPr>
            <w:tcW w:w="1422" w:type="dxa"/>
          </w:tcPr>
          <w:p w:rsidR="00636F9E" w:rsidRPr="006C06D1" w:rsidRDefault="00636F9E" w:rsidP="006C06D1">
            <w:pPr>
              <w:tabs>
                <w:tab w:val="center" w:pos="679"/>
              </w:tabs>
              <w:rPr>
                <w:sz w:val="16"/>
              </w:rPr>
            </w:pPr>
            <w:r w:rsidRPr="006C06D1">
              <w:rPr>
                <w:sz w:val="16"/>
              </w:rPr>
              <w:t>1.</w:t>
            </w:r>
            <w:r>
              <w:rPr>
                <w:sz w:val="16"/>
              </w:rPr>
              <w:t xml:space="preserve"> Estrategias de comunicación</w:t>
            </w: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710" w:type="dxa"/>
            <w:shd w:val="clear" w:color="auto" w:fill="auto"/>
          </w:tcPr>
          <w:p w:rsidR="00636F9E" w:rsidRPr="006C06D1" w:rsidRDefault="00636F9E" w:rsidP="0075210E">
            <w:pPr>
              <w:rPr>
                <w:sz w:val="16"/>
              </w:rPr>
            </w:pPr>
          </w:p>
        </w:tc>
        <w:tc>
          <w:tcPr>
            <w:tcW w:w="711" w:type="dxa"/>
            <w:shd w:val="clear" w:color="auto" w:fill="auto"/>
          </w:tcPr>
          <w:p w:rsidR="00636F9E" w:rsidRPr="006C06D1" w:rsidRDefault="00636F9E" w:rsidP="0075210E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spacing w:after="200" w:line="276" w:lineRule="auto"/>
              <w:rPr>
                <w:sz w:val="16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spacing w:after="200" w:line="276" w:lineRule="auto"/>
              <w:rPr>
                <w:sz w:val="16"/>
              </w:rPr>
            </w:pPr>
          </w:p>
        </w:tc>
      </w:tr>
      <w:tr w:rsidR="00636F9E" w:rsidRPr="006C06D1">
        <w:trPr>
          <w:trHeight w:val="115"/>
        </w:trPr>
        <w:tc>
          <w:tcPr>
            <w:tcW w:w="1280" w:type="dxa"/>
            <w:vMerge/>
          </w:tcPr>
          <w:p w:rsidR="00636F9E" w:rsidRPr="006C06D1" w:rsidRDefault="00636F9E" w:rsidP="0075210E">
            <w:pPr>
              <w:jc w:val="center"/>
              <w:rPr>
                <w:sz w:val="16"/>
                <w:lang w:val="es-ES"/>
              </w:rPr>
            </w:pPr>
          </w:p>
        </w:tc>
        <w:tc>
          <w:tcPr>
            <w:tcW w:w="1407" w:type="dxa"/>
            <w:vMerge/>
          </w:tcPr>
          <w:p w:rsidR="00636F9E" w:rsidRPr="006C06D1" w:rsidRDefault="00636F9E" w:rsidP="0075210E">
            <w:pPr>
              <w:jc w:val="center"/>
              <w:rPr>
                <w:sz w:val="16"/>
                <w:lang w:val="es-ES"/>
              </w:rPr>
            </w:pPr>
          </w:p>
        </w:tc>
        <w:tc>
          <w:tcPr>
            <w:tcW w:w="1152" w:type="dxa"/>
            <w:vMerge/>
            <w:vAlign w:val="center"/>
          </w:tcPr>
          <w:p w:rsidR="00636F9E" w:rsidRPr="006C06D1" w:rsidRDefault="00636F9E" w:rsidP="0075210E">
            <w:pPr>
              <w:jc w:val="center"/>
              <w:rPr>
                <w:sz w:val="16"/>
                <w:lang w:val="es-ES"/>
              </w:rPr>
            </w:pPr>
          </w:p>
        </w:tc>
        <w:tc>
          <w:tcPr>
            <w:tcW w:w="1848" w:type="dxa"/>
            <w:vMerge/>
          </w:tcPr>
          <w:p w:rsidR="00636F9E" w:rsidRPr="006C06D1" w:rsidRDefault="00636F9E" w:rsidP="00DE4B60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1422" w:type="dxa"/>
          </w:tcPr>
          <w:p w:rsidR="00636F9E" w:rsidRPr="006C06D1" w:rsidRDefault="00636F9E" w:rsidP="0075210E">
            <w:pPr>
              <w:rPr>
                <w:sz w:val="16"/>
              </w:rPr>
            </w:pPr>
            <w:r w:rsidRPr="006C06D1">
              <w:rPr>
                <w:sz w:val="16"/>
              </w:rPr>
              <w:t>2.</w:t>
            </w:r>
            <w:r>
              <w:rPr>
                <w:sz w:val="16"/>
              </w:rPr>
              <w:t xml:space="preserve"> Otra</w:t>
            </w: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710" w:type="dxa"/>
            <w:shd w:val="clear" w:color="auto" w:fill="auto"/>
          </w:tcPr>
          <w:p w:rsidR="00636F9E" w:rsidRPr="006C06D1" w:rsidRDefault="00636F9E" w:rsidP="0075210E">
            <w:pPr>
              <w:rPr>
                <w:sz w:val="16"/>
              </w:rPr>
            </w:pPr>
          </w:p>
        </w:tc>
        <w:tc>
          <w:tcPr>
            <w:tcW w:w="711" w:type="dxa"/>
            <w:shd w:val="clear" w:color="auto" w:fill="auto"/>
          </w:tcPr>
          <w:p w:rsidR="00636F9E" w:rsidRPr="006C06D1" w:rsidRDefault="00636F9E" w:rsidP="0075210E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</w:tr>
      <w:tr w:rsidR="00636F9E" w:rsidRPr="006C06D1">
        <w:trPr>
          <w:trHeight w:val="289"/>
        </w:trPr>
        <w:tc>
          <w:tcPr>
            <w:tcW w:w="1280" w:type="dxa"/>
            <w:vMerge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07" w:type="dxa"/>
            <w:vMerge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152" w:type="dxa"/>
            <w:vMerge/>
          </w:tcPr>
          <w:p w:rsidR="00636F9E" w:rsidRPr="006C06D1" w:rsidRDefault="00636F9E" w:rsidP="0006711C">
            <w:pPr>
              <w:spacing w:after="200" w:line="276" w:lineRule="auto"/>
              <w:rPr>
                <w:sz w:val="16"/>
              </w:rPr>
            </w:pPr>
          </w:p>
        </w:tc>
        <w:tc>
          <w:tcPr>
            <w:tcW w:w="1848" w:type="dxa"/>
            <w:vMerge w:val="restart"/>
            <w:vAlign w:val="center"/>
          </w:tcPr>
          <w:p w:rsidR="00636F9E" w:rsidRPr="006C06D1" w:rsidRDefault="00636F9E" w:rsidP="00DE4B60">
            <w:pPr>
              <w:pStyle w:val="NormalWeb"/>
              <w:jc w:val="both"/>
              <w:rPr>
                <w:rFonts w:ascii="Calibri" w:eastAsia="Calibri" w:hAnsi="Calibri" w:cs="Calibri"/>
                <w:bCs/>
                <w:color w:val="FFFFFF" w:themeColor="light1"/>
                <w:sz w:val="16"/>
                <w:szCs w:val="20"/>
              </w:rPr>
            </w:pPr>
            <w:r w:rsidRPr="006C06D1">
              <w:rPr>
                <w:rFonts w:ascii="Calibri" w:eastAsia="Calibri" w:hAnsi="Calibri" w:cs="Calibri"/>
                <w:bCs/>
                <w:sz w:val="16"/>
                <w:szCs w:val="20"/>
                <w:lang w:val="es-ES"/>
              </w:rPr>
              <w:t>1.2. Optimización de espacios</w:t>
            </w: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  <w:r w:rsidRPr="006C06D1">
              <w:rPr>
                <w:sz w:val="16"/>
              </w:rPr>
              <w:t>1.</w:t>
            </w:r>
            <w:r>
              <w:rPr>
                <w:sz w:val="16"/>
              </w:rPr>
              <w:t xml:space="preserve"> Uso de espacios en </w:t>
            </w:r>
            <w:proofErr w:type="spellStart"/>
            <w:r>
              <w:rPr>
                <w:sz w:val="16"/>
              </w:rPr>
              <w:t>contrajornada</w:t>
            </w:r>
            <w:proofErr w:type="spellEnd"/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710" w:type="dxa"/>
            <w:shd w:val="clear" w:color="auto" w:fill="auto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711" w:type="dxa"/>
            <w:shd w:val="clear" w:color="auto" w:fill="auto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</w:tr>
      <w:tr w:rsidR="00636F9E" w:rsidRPr="006C06D1">
        <w:trPr>
          <w:trHeight w:val="212"/>
        </w:trPr>
        <w:tc>
          <w:tcPr>
            <w:tcW w:w="1280" w:type="dxa"/>
            <w:vMerge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07" w:type="dxa"/>
            <w:vMerge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152" w:type="dxa"/>
            <w:vMerge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848" w:type="dxa"/>
            <w:vMerge/>
            <w:vAlign w:val="center"/>
          </w:tcPr>
          <w:p w:rsidR="00636F9E" w:rsidRPr="006C06D1" w:rsidRDefault="00636F9E" w:rsidP="00DE4B60">
            <w:pPr>
              <w:pStyle w:val="NormalWeb"/>
              <w:jc w:val="both"/>
              <w:rPr>
                <w:rFonts w:ascii="Calibri" w:eastAsia="Calibri" w:hAnsi="Calibri" w:cs="Calibri"/>
                <w:bCs/>
                <w:sz w:val="16"/>
                <w:szCs w:val="20"/>
                <w:lang w:val="es-ES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  <w:r w:rsidRPr="006C06D1">
              <w:rPr>
                <w:sz w:val="16"/>
              </w:rPr>
              <w:t>2.</w:t>
            </w:r>
            <w:r>
              <w:rPr>
                <w:sz w:val="16"/>
              </w:rPr>
              <w:t>Alianzas</w:t>
            </w: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710" w:type="dxa"/>
            <w:shd w:val="clear" w:color="auto" w:fill="auto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711" w:type="dxa"/>
            <w:shd w:val="clear" w:color="auto" w:fill="auto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</w:tr>
      <w:tr w:rsidR="00636F9E" w:rsidRPr="006C06D1">
        <w:trPr>
          <w:trHeight w:val="212"/>
        </w:trPr>
        <w:tc>
          <w:tcPr>
            <w:tcW w:w="1280" w:type="dxa"/>
            <w:vMerge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07" w:type="dxa"/>
            <w:vMerge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152" w:type="dxa"/>
            <w:vMerge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848" w:type="dxa"/>
            <w:vMerge/>
            <w:vAlign w:val="center"/>
          </w:tcPr>
          <w:p w:rsidR="00636F9E" w:rsidRPr="006C06D1" w:rsidRDefault="00636F9E" w:rsidP="00DE4B60">
            <w:pPr>
              <w:pStyle w:val="NormalWeb"/>
              <w:jc w:val="both"/>
              <w:rPr>
                <w:rFonts w:ascii="Calibri" w:eastAsia="Calibri" w:hAnsi="Calibri" w:cs="Calibri"/>
                <w:bCs/>
                <w:sz w:val="16"/>
                <w:szCs w:val="20"/>
                <w:lang w:val="es-ES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  <w:r>
              <w:rPr>
                <w:sz w:val="16"/>
              </w:rPr>
              <w:t>3. Traslado a otras sedes (Rutas)</w:t>
            </w: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710" w:type="dxa"/>
            <w:shd w:val="clear" w:color="auto" w:fill="auto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711" w:type="dxa"/>
            <w:shd w:val="clear" w:color="auto" w:fill="auto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</w:tr>
      <w:tr w:rsidR="00636F9E" w:rsidRPr="006C06D1">
        <w:trPr>
          <w:trHeight w:val="212"/>
        </w:trPr>
        <w:tc>
          <w:tcPr>
            <w:tcW w:w="1280" w:type="dxa"/>
            <w:vMerge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07" w:type="dxa"/>
            <w:vMerge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152" w:type="dxa"/>
            <w:vMerge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848" w:type="dxa"/>
            <w:vMerge/>
            <w:vAlign w:val="center"/>
          </w:tcPr>
          <w:p w:rsidR="00636F9E" w:rsidRPr="006C06D1" w:rsidRDefault="00636F9E" w:rsidP="00DE4B60">
            <w:pPr>
              <w:pStyle w:val="NormalWeb"/>
              <w:jc w:val="both"/>
              <w:rPr>
                <w:rFonts w:ascii="Calibri" w:eastAsia="Calibri" w:hAnsi="Calibri" w:cs="Calibri"/>
                <w:bCs/>
                <w:sz w:val="16"/>
                <w:szCs w:val="20"/>
                <w:lang w:val="es-ES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  <w:r>
              <w:rPr>
                <w:sz w:val="16"/>
              </w:rPr>
              <w:t>4. Otra</w:t>
            </w: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710" w:type="dxa"/>
            <w:shd w:val="clear" w:color="auto" w:fill="auto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711" w:type="dxa"/>
            <w:shd w:val="clear" w:color="auto" w:fill="auto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</w:tr>
      <w:tr w:rsidR="00636F9E" w:rsidRPr="006C06D1">
        <w:trPr>
          <w:trHeight w:val="257"/>
        </w:trPr>
        <w:tc>
          <w:tcPr>
            <w:tcW w:w="1280" w:type="dxa"/>
            <w:vMerge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07" w:type="dxa"/>
            <w:vMerge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152" w:type="dxa"/>
            <w:vMerge/>
          </w:tcPr>
          <w:p w:rsidR="00636F9E" w:rsidRPr="006C06D1" w:rsidRDefault="00636F9E" w:rsidP="0006711C">
            <w:pPr>
              <w:spacing w:after="200" w:line="276" w:lineRule="auto"/>
              <w:rPr>
                <w:sz w:val="16"/>
              </w:rPr>
            </w:pPr>
          </w:p>
        </w:tc>
        <w:tc>
          <w:tcPr>
            <w:tcW w:w="1848" w:type="dxa"/>
            <w:vMerge w:val="restart"/>
            <w:vAlign w:val="center"/>
          </w:tcPr>
          <w:p w:rsidR="00636F9E" w:rsidRPr="006C06D1" w:rsidRDefault="00636F9E" w:rsidP="00DE4B6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6C06D1">
              <w:rPr>
                <w:rFonts w:ascii="Calibri" w:eastAsia="Calibri" w:hAnsi="Calibri" w:cs="Calibri"/>
                <w:color w:val="000000" w:themeColor="dark1"/>
                <w:sz w:val="16"/>
                <w:szCs w:val="20"/>
                <w:lang w:val="es-ES"/>
              </w:rPr>
              <w:t>1.3. Incentivos de acceso</w:t>
            </w: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  <w:r w:rsidRPr="006C06D1">
              <w:rPr>
                <w:sz w:val="16"/>
              </w:rPr>
              <w:t>1.</w:t>
            </w:r>
            <w:r>
              <w:rPr>
                <w:sz w:val="16"/>
              </w:rPr>
              <w:t xml:space="preserve"> Más familias en acción</w:t>
            </w: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710" w:type="dxa"/>
            <w:shd w:val="clear" w:color="auto" w:fill="auto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711" w:type="dxa"/>
            <w:shd w:val="clear" w:color="auto" w:fill="auto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</w:tr>
      <w:tr w:rsidR="00636F9E" w:rsidRPr="006C06D1">
        <w:trPr>
          <w:trHeight w:val="212"/>
        </w:trPr>
        <w:tc>
          <w:tcPr>
            <w:tcW w:w="1280" w:type="dxa"/>
            <w:vMerge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07" w:type="dxa"/>
            <w:vMerge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152" w:type="dxa"/>
            <w:vMerge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848" w:type="dxa"/>
            <w:vMerge/>
            <w:vAlign w:val="center"/>
          </w:tcPr>
          <w:p w:rsidR="00636F9E" w:rsidRPr="006C06D1" w:rsidRDefault="00636F9E" w:rsidP="00DE4B60">
            <w:pPr>
              <w:pStyle w:val="NormalWeb"/>
              <w:spacing w:before="0" w:beforeAutospacing="0" w:after="0" w:afterAutospacing="0"/>
              <w:jc w:val="both"/>
              <w:rPr>
                <w:rFonts w:ascii="Calibri" w:eastAsia="Calibri" w:hAnsi="Calibri" w:cs="Calibri"/>
                <w:color w:val="000000" w:themeColor="dark1"/>
                <w:sz w:val="16"/>
                <w:szCs w:val="20"/>
                <w:lang w:val="es-ES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  <w:r w:rsidRPr="006C06D1">
              <w:rPr>
                <w:sz w:val="16"/>
              </w:rPr>
              <w:t>2.</w:t>
            </w:r>
            <w:r>
              <w:rPr>
                <w:sz w:val="16"/>
              </w:rPr>
              <w:t xml:space="preserve"> Otra</w:t>
            </w: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710" w:type="dxa"/>
            <w:shd w:val="clear" w:color="auto" w:fill="auto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711" w:type="dxa"/>
            <w:shd w:val="clear" w:color="auto" w:fill="auto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</w:tr>
      <w:tr w:rsidR="00636F9E" w:rsidRPr="006C06D1">
        <w:trPr>
          <w:trHeight w:val="212"/>
        </w:trPr>
        <w:tc>
          <w:tcPr>
            <w:tcW w:w="1280" w:type="dxa"/>
            <w:vMerge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07" w:type="dxa"/>
            <w:vMerge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152" w:type="dxa"/>
            <w:vMerge/>
          </w:tcPr>
          <w:p w:rsidR="00636F9E" w:rsidRPr="006C06D1" w:rsidRDefault="00636F9E" w:rsidP="0006711C">
            <w:pPr>
              <w:spacing w:after="200" w:line="276" w:lineRule="auto"/>
              <w:rPr>
                <w:sz w:val="16"/>
              </w:rPr>
            </w:pPr>
          </w:p>
        </w:tc>
        <w:tc>
          <w:tcPr>
            <w:tcW w:w="1848" w:type="dxa"/>
            <w:vMerge w:val="restart"/>
            <w:vAlign w:val="center"/>
          </w:tcPr>
          <w:p w:rsidR="00636F9E" w:rsidRPr="006C06D1" w:rsidRDefault="00636F9E" w:rsidP="00DE4B6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6C06D1">
              <w:rPr>
                <w:rFonts w:ascii="Calibri" w:eastAsia="Calibri" w:hAnsi="Calibri" w:cs="Calibri"/>
                <w:color w:val="000000" w:themeColor="dark1"/>
                <w:sz w:val="16"/>
                <w:szCs w:val="20"/>
                <w:lang w:val="es-ES"/>
              </w:rPr>
              <w:t>1.4. Otras ideas ETC</w:t>
            </w: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  <w:r w:rsidRPr="006C06D1">
              <w:rPr>
                <w:sz w:val="16"/>
              </w:rPr>
              <w:t>1.</w:t>
            </w: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710" w:type="dxa"/>
            <w:shd w:val="clear" w:color="auto" w:fill="auto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711" w:type="dxa"/>
            <w:shd w:val="clear" w:color="auto" w:fill="auto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</w:tr>
      <w:tr w:rsidR="00636F9E" w:rsidRPr="006C06D1">
        <w:trPr>
          <w:trHeight w:val="212"/>
        </w:trPr>
        <w:tc>
          <w:tcPr>
            <w:tcW w:w="1280" w:type="dxa"/>
            <w:vMerge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07" w:type="dxa"/>
            <w:vMerge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152" w:type="dxa"/>
            <w:vMerge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848" w:type="dxa"/>
            <w:vMerge/>
            <w:vAlign w:val="center"/>
          </w:tcPr>
          <w:p w:rsidR="00636F9E" w:rsidRPr="006C06D1" w:rsidRDefault="00636F9E" w:rsidP="00DE4B60">
            <w:pPr>
              <w:pStyle w:val="NormalWeb"/>
              <w:spacing w:before="0" w:beforeAutospacing="0" w:after="0" w:afterAutospacing="0"/>
              <w:jc w:val="both"/>
              <w:rPr>
                <w:rFonts w:ascii="Calibri" w:eastAsia="Calibri" w:hAnsi="Calibri" w:cs="Calibri"/>
                <w:color w:val="000000" w:themeColor="dark1"/>
                <w:sz w:val="16"/>
                <w:szCs w:val="20"/>
                <w:lang w:val="es-ES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  <w:r w:rsidRPr="006C06D1">
              <w:rPr>
                <w:sz w:val="16"/>
              </w:rPr>
              <w:t>2.</w:t>
            </w: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710" w:type="dxa"/>
            <w:shd w:val="clear" w:color="auto" w:fill="auto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711" w:type="dxa"/>
            <w:shd w:val="clear" w:color="auto" w:fill="auto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</w:tr>
      <w:tr w:rsidR="00636F9E" w:rsidRPr="006C06D1">
        <w:trPr>
          <w:trHeight w:val="201"/>
        </w:trPr>
        <w:tc>
          <w:tcPr>
            <w:tcW w:w="1280" w:type="dxa"/>
            <w:vMerge/>
          </w:tcPr>
          <w:p w:rsidR="00636F9E" w:rsidRPr="006C06D1" w:rsidRDefault="00636F9E" w:rsidP="0075210E">
            <w:pPr>
              <w:jc w:val="center"/>
              <w:rPr>
                <w:sz w:val="16"/>
                <w:lang w:val="es-ES"/>
              </w:rPr>
            </w:pPr>
          </w:p>
        </w:tc>
        <w:tc>
          <w:tcPr>
            <w:tcW w:w="1407" w:type="dxa"/>
            <w:vMerge w:val="restart"/>
          </w:tcPr>
          <w:p w:rsidR="00636F9E" w:rsidRPr="006C06D1" w:rsidRDefault="00636F9E" w:rsidP="00636F9E">
            <w:pPr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Deserción:</w:t>
            </w:r>
          </w:p>
        </w:tc>
        <w:tc>
          <w:tcPr>
            <w:tcW w:w="1152" w:type="dxa"/>
            <w:vMerge w:val="restart"/>
            <w:vAlign w:val="center"/>
          </w:tcPr>
          <w:p w:rsidR="00636F9E" w:rsidRPr="006C06D1" w:rsidRDefault="00636F9E" w:rsidP="0075210E">
            <w:pPr>
              <w:spacing w:after="200" w:line="276" w:lineRule="auto"/>
              <w:jc w:val="center"/>
              <w:rPr>
                <w:sz w:val="16"/>
              </w:rPr>
            </w:pPr>
            <w:r w:rsidRPr="006C06D1">
              <w:rPr>
                <w:sz w:val="16"/>
                <w:lang w:val="es-ES"/>
              </w:rPr>
              <w:t>2. Acciones para disminuir deserción</w:t>
            </w:r>
          </w:p>
        </w:tc>
        <w:tc>
          <w:tcPr>
            <w:tcW w:w="1848" w:type="dxa"/>
            <w:vMerge w:val="restart"/>
            <w:vAlign w:val="center"/>
          </w:tcPr>
          <w:p w:rsidR="00636F9E" w:rsidRPr="006C06D1" w:rsidRDefault="00636F9E" w:rsidP="00DE4B6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6C06D1">
              <w:rPr>
                <w:rFonts w:ascii="Calibri" w:eastAsia="Calibri" w:hAnsi="Calibri" w:cs="Calibri"/>
                <w:color w:val="000000" w:themeColor="dark1"/>
                <w:sz w:val="16"/>
                <w:szCs w:val="20"/>
                <w:lang w:val="es-ES"/>
              </w:rPr>
              <w:t>2.1. Apoyo académico</w:t>
            </w: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  <w:r w:rsidRPr="006C06D1">
              <w:rPr>
                <w:sz w:val="16"/>
              </w:rPr>
              <w:t>1.</w:t>
            </w:r>
            <w:r>
              <w:rPr>
                <w:sz w:val="16"/>
              </w:rPr>
              <w:t xml:space="preserve"> Tutorías</w:t>
            </w: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710" w:type="dxa"/>
            <w:shd w:val="clear" w:color="auto" w:fill="auto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711" w:type="dxa"/>
            <w:shd w:val="clear" w:color="auto" w:fill="auto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</w:tr>
      <w:tr w:rsidR="00636F9E" w:rsidRPr="006C06D1">
        <w:trPr>
          <w:trHeight w:val="201"/>
        </w:trPr>
        <w:tc>
          <w:tcPr>
            <w:tcW w:w="1280" w:type="dxa"/>
            <w:vMerge/>
          </w:tcPr>
          <w:p w:rsidR="00636F9E" w:rsidRPr="006C06D1" w:rsidRDefault="00636F9E" w:rsidP="0075210E">
            <w:pPr>
              <w:jc w:val="center"/>
              <w:rPr>
                <w:sz w:val="16"/>
                <w:lang w:val="es-ES"/>
              </w:rPr>
            </w:pPr>
          </w:p>
        </w:tc>
        <w:tc>
          <w:tcPr>
            <w:tcW w:w="1407" w:type="dxa"/>
            <w:vMerge/>
          </w:tcPr>
          <w:p w:rsidR="00636F9E" w:rsidRPr="006C06D1" w:rsidRDefault="00636F9E" w:rsidP="0075210E">
            <w:pPr>
              <w:jc w:val="center"/>
              <w:rPr>
                <w:sz w:val="16"/>
                <w:lang w:val="es-ES"/>
              </w:rPr>
            </w:pPr>
          </w:p>
        </w:tc>
        <w:tc>
          <w:tcPr>
            <w:tcW w:w="1152" w:type="dxa"/>
            <w:vMerge/>
            <w:vAlign w:val="center"/>
          </w:tcPr>
          <w:p w:rsidR="00636F9E" w:rsidRPr="006C06D1" w:rsidRDefault="00636F9E" w:rsidP="0075210E">
            <w:pPr>
              <w:jc w:val="center"/>
              <w:rPr>
                <w:sz w:val="16"/>
                <w:lang w:val="es-ES"/>
              </w:rPr>
            </w:pPr>
          </w:p>
        </w:tc>
        <w:tc>
          <w:tcPr>
            <w:tcW w:w="1848" w:type="dxa"/>
            <w:vMerge/>
            <w:vAlign w:val="center"/>
          </w:tcPr>
          <w:p w:rsidR="00636F9E" w:rsidRPr="006C06D1" w:rsidRDefault="00636F9E" w:rsidP="00DE4B60">
            <w:pPr>
              <w:pStyle w:val="NormalWeb"/>
              <w:spacing w:before="0" w:beforeAutospacing="0" w:after="0" w:afterAutospacing="0"/>
              <w:jc w:val="both"/>
              <w:rPr>
                <w:rFonts w:ascii="Calibri" w:eastAsia="Calibri" w:hAnsi="Calibri" w:cs="Calibri"/>
                <w:color w:val="000000" w:themeColor="dark1"/>
                <w:sz w:val="16"/>
                <w:szCs w:val="20"/>
                <w:lang w:val="es-ES"/>
              </w:rPr>
            </w:pPr>
          </w:p>
        </w:tc>
        <w:tc>
          <w:tcPr>
            <w:tcW w:w="1422" w:type="dxa"/>
          </w:tcPr>
          <w:p w:rsidR="00636F9E" w:rsidRPr="006C06D1" w:rsidRDefault="00636F9E" w:rsidP="00952EFF">
            <w:pPr>
              <w:rPr>
                <w:sz w:val="16"/>
              </w:rPr>
            </w:pPr>
            <w:r w:rsidRPr="006C06D1">
              <w:rPr>
                <w:sz w:val="16"/>
              </w:rPr>
              <w:t>2.</w:t>
            </w:r>
            <w:r>
              <w:rPr>
                <w:sz w:val="16"/>
              </w:rPr>
              <w:t xml:space="preserve"> Otra</w:t>
            </w: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710" w:type="dxa"/>
            <w:shd w:val="clear" w:color="auto" w:fill="auto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711" w:type="dxa"/>
            <w:shd w:val="clear" w:color="auto" w:fill="auto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</w:tr>
      <w:tr w:rsidR="00636F9E" w:rsidRPr="006C06D1">
        <w:trPr>
          <w:trHeight w:val="212"/>
        </w:trPr>
        <w:tc>
          <w:tcPr>
            <w:tcW w:w="1280" w:type="dxa"/>
            <w:vMerge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07" w:type="dxa"/>
            <w:vMerge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152" w:type="dxa"/>
            <w:vMerge/>
          </w:tcPr>
          <w:p w:rsidR="00636F9E" w:rsidRPr="006C06D1" w:rsidRDefault="00636F9E" w:rsidP="0006711C">
            <w:pPr>
              <w:spacing w:after="200" w:line="276" w:lineRule="auto"/>
              <w:rPr>
                <w:sz w:val="16"/>
              </w:rPr>
            </w:pPr>
          </w:p>
        </w:tc>
        <w:tc>
          <w:tcPr>
            <w:tcW w:w="1848" w:type="dxa"/>
            <w:vMerge w:val="restart"/>
            <w:vAlign w:val="center"/>
          </w:tcPr>
          <w:p w:rsidR="00636F9E" w:rsidRPr="006C06D1" w:rsidRDefault="00636F9E" w:rsidP="00DE4B6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6C06D1">
              <w:rPr>
                <w:rFonts w:ascii="Calibri" w:eastAsia="Calibri" w:hAnsi="Calibri" w:cs="Calibri"/>
                <w:color w:val="000000" w:themeColor="dark1"/>
                <w:sz w:val="16"/>
                <w:szCs w:val="20"/>
                <w:lang w:val="es-ES"/>
              </w:rPr>
              <w:t>2.2. Orientación</w:t>
            </w: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  <w:r w:rsidRPr="006C06D1">
              <w:rPr>
                <w:sz w:val="16"/>
              </w:rPr>
              <w:t>1.</w:t>
            </w:r>
            <w:r>
              <w:rPr>
                <w:sz w:val="16"/>
              </w:rPr>
              <w:t xml:space="preserve"> Orientación</w:t>
            </w: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710" w:type="dxa"/>
            <w:shd w:val="clear" w:color="auto" w:fill="auto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711" w:type="dxa"/>
            <w:shd w:val="clear" w:color="auto" w:fill="auto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</w:tr>
      <w:tr w:rsidR="00636F9E" w:rsidRPr="006C06D1">
        <w:trPr>
          <w:trHeight w:val="212"/>
        </w:trPr>
        <w:tc>
          <w:tcPr>
            <w:tcW w:w="1280" w:type="dxa"/>
            <w:vMerge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07" w:type="dxa"/>
            <w:vMerge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152" w:type="dxa"/>
            <w:vMerge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848" w:type="dxa"/>
            <w:vMerge/>
            <w:vAlign w:val="center"/>
          </w:tcPr>
          <w:p w:rsidR="00636F9E" w:rsidRPr="006C06D1" w:rsidRDefault="00636F9E" w:rsidP="00DE4B60">
            <w:pPr>
              <w:pStyle w:val="NormalWeb"/>
              <w:spacing w:before="0" w:beforeAutospacing="0" w:after="0" w:afterAutospacing="0"/>
              <w:jc w:val="both"/>
              <w:rPr>
                <w:rFonts w:ascii="Calibri" w:eastAsia="Calibri" w:hAnsi="Calibri" w:cs="Calibri"/>
                <w:color w:val="000000" w:themeColor="dark1"/>
                <w:sz w:val="16"/>
                <w:szCs w:val="20"/>
                <w:lang w:val="es-ES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  <w:r w:rsidRPr="006C06D1">
              <w:rPr>
                <w:sz w:val="16"/>
              </w:rPr>
              <w:t>2.</w:t>
            </w:r>
            <w:r>
              <w:rPr>
                <w:sz w:val="16"/>
              </w:rPr>
              <w:t xml:space="preserve"> Otra</w:t>
            </w: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710" w:type="dxa"/>
            <w:shd w:val="clear" w:color="auto" w:fill="auto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711" w:type="dxa"/>
            <w:shd w:val="clear" w:color="auto" w:fill="auto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</w:tr>
      <w:tr w:rsidR="00636F9E" w:rsidRPr="006C06D1">
        <w:trPr>
          <w:trHeight w:val="184"/>
        </w:trPr>
        <w:tc>
          <w:tcPr>
            <w:tcW w:w="1280" w:type="dxa"/>
            <w:vMerge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07" w:type="dxa"/>
            <w:vMerge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152" w:type="dxa"/>
            <w:vMerge/>
          </w:tcPr>
          <w:p w:rsidR="00636F9E" w:rsidRPr="006C06D1" w:rsidRDefault="00636F9E" w:rsidP="0006711C">
            <w:pPr>
              <w:spacing w:after="200" w:line="276" w:lineRule="auto"/>
              <w:rPr>
                <w:sz w:val="16"/>
              </w:rPr>
            </w:pPr>
          </w:p>
        </w:tc>
        <w:tc>
          <w:tcPr>
            <w:tcW w:w="1848" w:type="dxa"/>
            <w:vMerge w:val="restart"/>
            <w:vAlign w:val="center"/>
          </w:tcPr>
          <w:p w:rsidR="00636F9E" w:rsidRPr="006C06D1" w:rsidRDefault="00636F9E" w:rsidP="00DE4B6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6C06D1">
              <w:rPr>
                <w:rFonts w:ascii="Calibri" w:eastAsia="Calibri" w:hAnsi="Calibri" w:cs="Calibri"/>
                <w:color w:val="000000" w:themeColor="dark1"/>
                <w:sz w:val="16"/>
                <w:szCs w:val="20"/>
                <w:lang w:val="es-ES"/>
              </w:rPr>
              <w:t>2.3. Incentivos de permanencia</w:t>
            </w: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  <w:r w:rsidRPr="006C06D1">
              <w:rPr>
                <w:sz w:val="16"/>
              </w:rPr>
              <w:t>1.</w:t>
            </w:r>
            <w:r>
              <w:rPr>
                <w:sz w:val="16"/>
              </w:rPr>
              <w:t xml:space="preserve"> Flexibilización</w:t>
            </w: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710" w:type="dxa"/>
            <w:shd w:val="clear" w:color="auto" w:fill="auto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711" w:type="dxa"/>
            <w:shd w:val="clear" w:color="auto" w:fill="auto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</w:tr>
      <w:tr w:rsidR="00636F9E" w:rsidRPr="006C06D1">
        <w:trPr>
          <w:trHeight w:val="184"/>
        </w:trPr>
        <w:tc>
          <w:tcPr>
            <w:tcW w:w="1280" w:type="dxa"/>
            <w:vMerge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07" w:type="dxa"/>
            <w:vMerge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152" w:type="dxa"/>
            <w:vMerge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848" w:type="dxa"/>
            <w:vMerge/>
            <w:vAlign w:val="center"/>
          </w:tcPr>
          <w:p w:rsidR="00636F9E" w:rsidRPr="006C06D1" w:rsidRDefault="00636F9E" w:rsidP="00DE4B60">
            <w:pPr>
              <w:pStyle w:val="NormalWeb"/>
              <w:spacing w:before="0" w:beforeAutospacing="0" w:after="0" w:afterAutospacing="0"/>
              <w:jc w:val="both"/>
              <w:rPr>
                <w:rFonts w:ascii="Calibri" w:eastAsia="Calibri" w:hAnsi="Calibri" w:cs="Calibri"/>
                <w:color w:val="000000" w:themeColor="dark1"/>
                <w:sz w:val="16"/>
                <w:szCs w:val="20"/>
                <w:lang w:val="es-ES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  <w:r w:rsidRPr="006C06D1">
              <w:rPr>
                <w:sz w:val="16"/>
              </w:rPr>
              <w:t>2.</w:t>
            </w:r>
            <w:r>
              <w:rPr>
                <w:sz w:val="16"/>
              </w:rPr>
              <w:t>Jornadas complementarias</w:t>
            </w: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710" w:type="dxa"/>
            <w:shd w:val="clear" w:color="auto" w:fill="auto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711" w:type="dxa"/>
            <w:shd w:val="clear" w:color="auto" w:fill="auto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</w:tr>
      <w:tr w:rsidR="00636F9E" w:rsidRPr="006C06D1">
        <w:trPr>
          <w:trHeight w:val="184"/>
        </w:trPr>
        <w:tc>
          <w:tcPr>
            <w:tcW w:w="1280" w:type="dxa"/>
            <w:vMerge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07" w:type="dxa"/>
            <w:vMerge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152" w:type="dxa"/>
            <w:vMerge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848" w:type="dxa"/>
            <w:vMerge/>
            <w:vAlign w:val="center"/>
          </w:tcPr>
          <w:p w:rsidR="00636F9E" w:rsidRPr="006C06D1" w:rsidRDefault="00636F9E" w:rsidP="00DE4B60">
            <w:pPr>
              <w:pStyle w:val="NormalWeb"/>
              <w:spacing w:before="0" w:beforeAutospacing="0" w:after="0" w:afterAutospacing="0"/>
              <w:jc w:val="both"/>
              <w:rPr>
                <w:rFonts w:ascii="Calibri" w:eastAsia="Calibri" w:hAnsi="Calibri" w:cs="Calibri"/>
                <w:color w:val="000000" w:themeColor="dark1"/>
                <w:sz w:val="16"/>
                <w:szCs w:val="20"/>
                <w:lang w:val="es-ES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  <w:r>
              <w:rPr>
                <w:sz w:val="16"/>
              </w:rPr>
              <w:t>3. Otra</w:t>
            </w: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710" w:type="dxa"/>
            <w:shd w:val="clear" w:color="auto" w:fill="auto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711" w:type="dxa"/>
            <w:shd w:val="clear" w:color="auto" w:fill="auto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</w:tr>
      <w:tr w:rsidR="00636F9E" w:rsidRPr="006C06D1">
        <w:trPr>
          <w:trHeight w:val="212"/>
        </w:trPr>
        <w:tc>
          <w:tcPr>
            <w:tcW w:w="1280" w:type="dxa"/>
            <w:vMerge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07" w:type="dxa"/>
            <w:vMerge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152" w:type="dxa"/>
            <w:vMerge/>
          </w:tcPr>
          <w:p w:rsidR="00636F9E" w:rsidRPr="006C06D1" w:rsidRDefault="00636F9E" w:rsidP="0006711C">
            <w:pPr>
              <w:spacing w:after="200" w:line="276" w:lineRule="auto"/>
              <w:rPr>
                <w:sz w:val="16"/>
              </w:rPr>
            </w:pPr>
          </w:p>
        </w:tc>
        <w:tc>
          <w:tcPr>
            <w:tcW w:w="1848" w:type="dxa"/>
            <w:vMerge w:val="restart"/>
            <w:vAlign w:val="center"/>
          </w:tcPr>
          <w:p w:rsidR="00636F9E" w:rsidRPr="006C06D1" w:rsidRDefault="00636F9E" w:rsidP="00DE4B6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6C06D1">
              <w:rPr>
                <w:rFonts w:ascii="Calibri" w:eastAsia="Calibri" w:hAnsi="Calibri" w:cs="Calibri"/>
                <w:color w:val="000000" w:themeColor="dark1"/>
                <w:sz w:val="16"/>
                <w:szCs w:val="20"/>
                <w:lang w:val="es-ES"/>
              </w:rPr>
              <w:t>2.4. Otras ideas ETC</w:t>
            </w: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  <w:r w:rsidRPr="006C06D1">
              <w:rPr>
                <w:sz w:val="16"/>
              </w:rPr>
              <w:t>1.</w:t>
            </w: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710" w:type="dxa"/>
            <w:shd w:val="clear" w:color="auto" w:fill="auto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711" w:type="dxa"/>
            <w:shd w:val="clear" w:color="auto" w:fill="auto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</w:tr>
      <w:tr w:rsidR="00636F9E" w:rsidRPr="006C06D1">
        <w:trPr>
          <w:trHeight w:val="212"/>
        </w:trPr>
        <w:tc>
          <w:tcPr>
            <w:tcW w:w="1280" w:type="dxa"/>
            <w:vMerge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07" w:type="dxa"/>
            <w:vMerge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152" w:type="dxa"/>
            <w:vMerge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848" w:type="dxa"/>
            <w:vMerge/>
            <w:vAlign w:val="center"/>
          </w:tcPr>
          <w:p w:rsidR="00636F9E" w:rsidRPr="006C06D1" w:rsidRDefault="00636F9E" w:rsidP="00DE4B60">
            <w:pPr>
              <w:pStyle w:val="NormalWeb"/>
              <w:spacing w:before="0" w:beforeAutospacing="0" w:after="0" w:afterAutospacing="0"/>
              <w:jc w:val="both"/>
              <w:rPr>
                <w:rFonts w:ascii="Calibri" w:eastAsia="Calibri" w:hAnsi="Calibri" w:cs="Calibri"/>
                <w:color w:val="000000" w:themeColor="dark1"/>
                <w:sz w:val="16"/>
                <w:szCs w:val="20"/>
                <w:lang w:val="es-ES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  <w:r w:rsidRPr="006C06D1">
              <w:rPr>
                <w:sz w:val="16"/>
              </w:rPr>
              <w:t>2.</w:t>
            </w: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710" w:type="dxa"/>
            <w:shd w:val="clear" w:color="auto" w:fill="auto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711" w:type="dxa"/>
            <w:shd w:val="clear" w:color="auto" w:fill="auto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636F9E" w:rsidRPr="006C06D1" w:rsidRDefault="00636F9E" w:rsidP="0006711C">
            <w:pPr>
              <w:rPr>
                <w:sz w:val="16"/>
              </w:rPr>
            </w:pPr>
          </w:p>
        </w:tc>
      </w:tr>
    </w:tbl>
    <w:p w:rsidR="00225BB1" w:rsidRDefault="00225BB1">
      <w:pPr>
        <w:rPr>
          <w:b/>
        </w:rPr>
      </w:pPr>
    </w:p>
    <w:p w:rsidR="0075210E" w:rsidRDefault="00BE1724" w:rsidP="00BE1724">
      <w:pPr>
        <w:spacing w:after="0" w:line="240" w:lineRule="auto"/>
      </w:pPr>
      <w:r w:rsidRPr="0075210E">
        <w:rPr>
          <w:b/>
        </w:rPr>
        <w:t>Nota:</w:t>
      </w:r>
      <w:r>
        <w:t xml:space="preserve"> si necesita insertar más filas, por favor asígneles el número consecutivo correspondiente.</w:t>
      </w:r>
    </w:p>
    <w:p w:rsidR="00C17302" w:rsidRDefault="00C17302"/>
    <w:p w:rsidR="00C17302" w:rsidRDefault="00C17302"/>
    <w:p w:rsidR="0075210E" w:rsidRDefault="0075210E" w:rsidP="00050385">
      <w:pPr>
        <w:spacing w:after="0" w:line="240" w:lineRule="auto"/>
        <w:jc w:val="center"/>
        <w:rPr>
          <w:b/>
        </w:rPr>
      </w:pPr>
      <w:r w:rsidRPr="0075210E">
        <w:rPr>
          <w:b/>
        </w:rPr>
        <w:t>M</w:t>
      </w:r>
      <w:r>
        <w:rPr>
          <w:b/>
        </w:rPr>
        <w:t>INISTERIO DE EDUCACIÓN NACIONAL</w:t>
      </w:r>
    </w:p>
    <w:p w:rsidR="0075210E" w:rsidRPr="0075210E" w:rsidRDefault="0075210E" w:rsidP="00050385">
      <w:pPr>
        <w:spacing w:after="0" w:line="240" w:lineRule="auto"/>
        <w:jc w:val="center"/>
        <w:rPr>
          <w:b/>
        </w:rPr>
      </w:pPr>
      <w:r>
        <w:rPr>
          <w:b/>
        </w:rPr>
        <w:t>CONVOCATORIA  EDUCACIÓN MEDIA PARA TODOS</w:t>
      </w:r>
    </w:p>
    <w:p w:rsidR="0075210E" w:rsidRPr="0075210E" w:rsidRDefault="0075210E" w:rsidP="00050385">
      <w:pPr>
        <w:spacing w:after="0" w:line="240" w:lineRule="auto"/>
        <w:jc w:val="center"/>
        <w:rPr>
          <w:b/>
        </w:rPr>
      </w:pPr>
      <w:r w:rsidRPr="0075210E">
        <w:rPr>
          <w:b/>
        </w:rPr>
        <w:t>INSTRUCTIVO</w:t>
      </w:r>
      <w:r w:rsidR="00F94C47">
        <w:rPr>
          <w:b/>
        </w:rPr>
        <w:t xml:space="preserve"> PARA DILIGENCIAR EL ANEXO 3</w:t>
      </w:r>
    </w:p>
    <w:p w:rsidR="00050385" w:rsidRDefault="00050385" w:rsidP="00050385">
      <w:pPr>
        <w:spacing w:after="0" w:line="240" w:lineRule="auto"/>
      </w:pPr>
    </w:p>
    <w:p w:rsidR="0075210E" w:rsidRDefault="00225BB1" w:rsidP="00050385">
      <w:pPr>
        <w:spacing w:after="0" w:line="240" w:lineRule="auto"/>
      </w:pPr>
      <w:r>
        <w:t xml:space="preserve">El Formato 3 </w:t>
      </w:r>
      <w:r w:rsidR="0075210E">
        <w:t>tiene por objetivo orientar y establecer un esquema</w:t>
      </w:r>
      <w:r w:rsidR="00143F34">
        <w:t>,</w:t>
      </w:r>
      <w:r w:rsidR="0075210E">
        <w:t xml:space="preserve"> para</w:t>
      </w:r>
      <w:r w:rsidR="003472F0">
        <w:t xml:space="preserve"> hacer operativa la propuesta present</w:t>
      </w:r>
      <w:r w:rsidR="00636F9E">
        <w:t xml:space="preserve">ada por la entidad territorial y particularizar en cada institución educativa focalizada, </w:t>
      </w:r>
      <w:r w:rsidR="003472F0">
        <w:t xml:space="preserve">conforme </w:t>
      </w:r>
      <w:r>
        <w:t xml:space="preserve">a </w:t>
      </w:r>
      <w:r w:rsidR="003472F0">
        <w:t xml:space="preserve">lo diligenciado en el </w:t>
      </w:r>
      <w:r>
        <w:t>Formato</w:t>
      </w:r>
      <w:r w:rsidR="003472F0">
        <w:t xml:space="preserve"> 2.</w:t>
      </w:r>
    </w:p>
    <w:p w:rsidR="00050385" w:rsidRDefault="00050385" w:rsidP="00050385">
      <w:pPr>
        <w:spacing w:after="0" w:line="240" w:lineRule="auto"/>
        <w:rPr>
          <w:b/>
        </w:rPr>
      </w:pPr>
    </w:p>
    <w:p w:rsidR="0075210E" w:rsidRDefault="00636F9E" w:rsidP="00050385">
      <w:pPr>
        <w:spacing w:after="0" w:line="240" w:lineRule="auto"/>
      </w:pPr>
      <w:r>
        <w:t>Se debe diligenciar un formato por cada sede focalizada por la Secretaría de Educación para beneficiar con la presente propuesta, por lo tanto, e</w:t>
      </w:r>
      <w:r w:rsidR="00DE4B60">
        <w:t>l formato se diligencia de la siguiente manera</w:t>
      </w:r>
      <w:r w:rsidR="003472F0">
        <w:t xml:space="preserve">, teniendo </w:t>
      </w:r>
      <w:r>
        <w:t>en cuenta el formato Np. 2.</w:t>
      </w:r>
    </w:p>
    <w:p w:rsidR="00050385" w:rsidRDefault="00050385" w:rsidP="00050385">
      <w:pPr>
        <w:spacing w:after="0" w:line="240" w:lineRule="auto"/>
      </w:pPr>
    </w:p>
    <w:p w:rsidR="00636F9E" w:rsidRPr="00636F9E" w:rsidRDefault="00225BB1" w:rsidP="00143F34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Diligencie</w:t>
      </w:r>
      <w:r w:rsidR="00143F34">
        <w:t xml:space="preserve"> la columna </w:t>
      </w:r>
      <w:r w:rsidR="00636F9E">
        <w:rPr>
          <w:b/>
        </w:rPr>
        <w:t xml:space="preserve">a. Código DANE de la SEDE, </w:t>
      </w:r>
      <w:r w:rsidR="00636F9E">
        <w:t xml:space="preserve">relacione el código DANE completo de la cada SEDE focalizada por la Entidad Territorial, para el desarrollo de las estrategias y actividades de la propuesta presentada.  La </w:t>
      </w:r>
      <w:r w:rsidR="00656EF6">
        <w:t>ETC</w:t>
      </w:r>
      <w:r w:rsidR="00636F9E">
        <w:t xml:space="preserve"> debe tener claramente definidas las sedes a beneficiar, espacios disponibles y requeridos para el desarroll</w:t>
      </w:r>
      <w:r w:rsidR="00656EF6">
        <w:t>o de las diferentes actividades y el cálculo de sus necesidades. Ejemplo: rutas escolares necesarias para transportar a los jóvenes a los espacios a utilizar.</w:t>
      </w:r>
    </w:p>
    <w:p w:rsidR="00636F9E" w:rsidRPr="00636F9E" w:rsidRDefault="00636F9E" w:rsidP="00143F34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 xml:space="preserve">Diligencie la columna </w:t>
      </w:r>
      <w:r w:rsidRPr="00636F9E">
        <w:rPr>
          <w:b/>
        </w:rPr>
        <w:t>b.</w:t>
      </w:r>
      <w:r>
        <w:t xml:space="preserve">  </w:t>
      </w:r>
      <w:r w:rsidRPr="00636F9E">
        <w:rPr>
          <w:b/>
        </w:rPr>
        <w:t>problemática de la sede</w:t>
      </w:r>
      <w:r>
        <w:rPr>
          <w:b/>
        </w:rPr>
        <w:t xml:space="preserve">, </w:t>
      </w:r>
      <w:r w:rsidR="004E025C">
        <w:t xml:space="preserve"> indicando claramente cuál es el principal problema que afronta la sede educativa seleccionada en términos de acceso y deserción, los cuales se pretenden atender con la presente convocatoria</w:t>
      </w:r>
      <w:r w:rsidR="00F60844">
        <w:t xml:space="preserve"> y cada actividad propuesta</w:t>
      </w:r>
      <w:r w:rsidR="004E025C">
        <w:t xml:space="preserve">. </w:t>
      </w:r>
    </w:p>
    <w:p w:rsidR="00143F34" w:rsidRDefault="004E025C" w:rsidP="00143F34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 xml:space="preserve">Diligencie la columna </w:t>
      </w:r>
      <w:r w:rsidRPr="004E025C">
        <w:rPr>
          <w:b/>
        </w:rPr>
        <w:t>e</w:t>
      </w:r>
      <w:r w:rsidR="00143F34" w:rsidRPr="00DE4B60">
        <w:rPr>
          <w:b/>
        </w:rPr>
        <w:t xml:space="preserve">. </w:t>
      </w:r>
      <w:r w:rsidR="00143F34" w:rsidRPr="00DE4B60">
        <w:rPr>
          <w:b/>
          <w:bCs/>
          <w:lang w:val="es-ES"/>
        </w:rPr>
        <w:t>Actividades que desarrollará la ETC</w:t>
      </w:r>
      <w:r w:rsidR="00143F34">
        <w:t xml:space="preserve">, indicando de las acciones seleccionadas por la Entidad territorial para la presente propuesta conforme en Anexo 2. </w:t>
      </w:r>
    </w:p>
    <w:p w:rsidR="004E025C" w:rsidRPr="00AE3DDB" w:rsidRDefault="004E025C" w:rsidP="004E025C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 xml:space="preserve">Diligencie la columna </w:t>
      </w:r>
      <w:r w:rsidRPr="004E025C">
        <w:rPr>
          <w:b/>
        </w:rPr>
        <w:t>f.</w:t>
      </w:r>
      <w:r w:rsidRPr="00DE4B60">
        <w:rPr>
          <w:b/>
        </w:rPr>
        <w:t xml:space="preserve"> </w:t>
      </w:r>
      <w:r w:rsidRPr="00AE3DDB">
        <w:rPr>
          <w:b/>
        </w:rPr>
        <w:t>Explicación de la actividad que desarrollará la ETC</w:t>
      </w:r>
      <w:r>
        <w:rPr>
          <w:b/>
        </w:rPr>
        <w:t xml:space="preserve">, </w:t>
      </w:r>
      <w:r>
        <w:t>describa de forma clara y concreta el desarrollo de cada actividad que realizada en cada sede educativa, indicando los medios y mecanismos para garantizar su desarrollo y efectividad.</w:t>
      </w:r>
    </w:p>
    <w:p w:rsidR="004E025C" w:rsidRPr="00AE3DDB" w:rsidRDefault="00276AAF" w:rsidP="004E025C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Diligencie la c</w:t>
      </w:r>
      <w:r w:rsidR="00DE4B60">
        <w:t xml:space="preserve">olumna </w:t>
      </w:r>
      <w:r w:rsidR="004E025C">
        <w:rPr>
          <w:b/>
        </w:rPr>
        <w:t>g</w:t>
      </w:r>
      <w:r w:rsidR="00DE4B60" w:rsidRPr="00DE4B60">
        <w:rPr>
          <w:b/>
        </w:rPr>
        <w:t xml:space="preserve">. </w:t>
      </w:r>
      <w:r w:rsidR="004E025C">
        <w:rPr>
          <w:b/>
        </w:rPr>
        <w:t xml:space="preserve">meta de jóvenes a beneficiar, </w:t>
      </w:r>
      <w:r w:rsidR="004E025C">
        <w:t>teniendo en cuenta el propósito de incrementar la matrícula en educación media, establezca conforme la cantidad la cantidad de jóvenes que se espera vincular y beneficiar de cada actividad propuesta en la sede focalizada.</w:t>
      </w:r>
    </w:p>
    <w:p w:rsidR="00F60844" w:rsidRDefault="00F60844" w:rsidP="00F6084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AE3DDB">
        <w:rPr>
          <w:bCs/>
          <w:lang w:val="es-ES"/>
        </w:rPr>
        <w:t xml:space="preserve">Diligencie la columna </w:t>
      </w:r>
      <w:r w:rsidRPr="00F60844">
        <w:rPr>
          <w:b/>
          <w:bCs/>
          <w:lang w:val="es-ES"/>
        </w:rPr>
        <w:t>h</w:t>
      </w:r>
      <w:r w:rsidRPr="00AE3DDB">
        <w:rPr>
          <w:b/>
          <w:bCs/>
          <w:lang w:val="es-ES"/>
        </w:rPr>
        <w:t>.</w:t>
      </w:r>
      <w:r>
        <w:rPr>
          <w:b/>
          <w:bCs/>
          <w:lang w:val="es-ES"/>
        </w:rPr>
        <w:t xml:space="preserve"> </w:t>
      </w:r>
      <w:r w:rsidRPr="00AE3DDB">
        <w:rPr>
          <w:b/>
        </w:rPr>
        <w:t>Fecha de ejecución</w:t>
      </w:r>
      <w:r>
        <w:rPr>
          <w:b/>
        </w:rPr>
        <w:t xml:space="preserve">, </w:t>
      </w:r>
      <w:r>
        <w:t xml:space="preserve">indicando la fecha tanto de </w:t>
      </w:r>
      <w:r w:rsidRPr="00F60844">
        <w:rPr>
          <w:b/>
        </w:rPr>
        <w:t>inicio</w:t>
      </w:r>
      <w:r>
        <w:t xml:space="preserve"> como de</w:t>
      </w:r>
      <w:r w:rsidRPr="00F60844">
        <w:rPr>
          <w:b/>
        </w:rPr>
        <w:t xml:space="preserve"> finalización</w:t>
      </w:r>
      <w:r>
        <w:t xml:space="preserve"> de cada actividad en la sede focalizada durante la vigencia 2015 y teniendo en cuenta el calendario académico particular.</w:t>
      </w:r>
      <w:r w:rsidRPr="00AE3DDB">
        <w:rPr>
          <w:b/>
        </w:rPr>
        <w:tab/>
      </w:r>
    </w:p>
    <w:p w:rsidR="00F60844" w:rsidRPr="00FE771A" w:rsidRDefault="00F60844" w:rsidP="00F60844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FE771A">
        <w:rPr>
          <w:bCs/>
          <w:lang w:val="es-ES"/>
        </w:rPr>
        <w:t xml:space="preserve">Diligencie la columna </w:t>
      </w:r>
      <w:r w:rsidRPr="00FE771A">
        <w:rPr>
          <w:b/>
          <w:bCs/>
          <w:lang w:val="es-ES"/>
        </w:rPr>
        <w:t>j</w:t>
      </w:r>
      <w:r w:rsidRPr="00FE771A">
        <w:rPr>
          <w:b/>
        </w:rPr>
        <w:t>. Responsable</w:t>
      </w:r>
      <w:r w:rsidRPr="00FE771A">
        <w:t xml:space="preserve">, relacionando el nombre de la o las  personas de </w:t>
      </w:r>
      <w:r>
        <w:t>Sede educativa</w:t>
      </w:r>
      <w:r w:rsidRPr="00FE771A">
        <w:t xml:space="preserve">, encargadas de ejecutar cada actividad y su cargo. </w:t>
      </w:r>
    </w:p>
    <w:p w:rsidR="00F60844" w:rsidRPr="00FE771A" w:rsidRDefault="00F60844" w:rsidP="00F60844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FE771A">
        <w:t xml:space="preserve">Diligencie la colimba </w:t>
      </w:r>
      <w:r w:rsidRPr="00FE771A">
        <w:rPr>
          <w:b/>
        </w:rPr>
        <w:t>k. Evidencia</w:t>
      </w:r>
      <w:r w:rsidRPr="00FE771A">
        <w:t xml:space="preserve">, mencionando las evidencias que </w:t>
      </w:r>
      <w:r>
        <w:t xml:space="preserve">debe generar la sede educativa, </w:t>
      </w:r>
      <w:r w:rsidRPr="00FE771A">
        <w:t>para garantizar el incremento en la matrícula de educación media y la disminución de la deserción, así como los productos o soportes en la ejecución de cada actividad.</w:t>
      </w:r>
    </w:p>
    <w:sectPr w:rsidR="00F60844" w:rsidRPr="00FE771A" w:rsidSect="0075210E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9D8" w:rsidRDefault="005A69D8" w:rsidP="0075210E">
      <w:pPr>
        <w:spacing w:after="0" w:line="240" w:lineRule="auto"/>
      </w:pPr>
      <w:r>
        <w:separator/>
      </w:r>
    </w:p>
  </w:endnote>
  <w:endnote w:type="continuationSeparator" w:id="0">
    <w:p w:rsidR="005A69D8" w:rsidRDefault="005A69D8" w:rsidP="00752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9D8" w:rsidRDefault="005A69D8" w:rsidP="0075210E">
      <w:pPr>
        <w:spacing w:after="0" w:line="240" w:lineRule="auto"/>
      </w:pPr>
      <w:r>
        <w:separator/>
      </w:r>
    </w:p>
  </w:footnote>
  <w:footnote w:type="continuationSeparator" w:id="0">
    <w:p w:rsidR="005A69D8" w:rsidRDefault="005A69D8" w:rsidP="00752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0E" w:rsidRDefault="0075210E" w:rsidP="0075210E">
    <w:pPr>
      <w:pStyle w:val="Encabezado"/>
      <w:tabs>
        <w:tab w:val="clear" w:pos="4419"/>
        <w:tab w:val="clear" w:pos="8838"/>
        <w:tab w:val="left" w:pos="10569"/>
      </w:tabs>
    </w:pPr>
    <w:r w:rsidRPr="00A53E1B">
      <w:rPr>
        <w:rFonts w:ascii="Arial" w:hAnsi="Arial" w:cs="Arial"/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5610225</wp:posOffset>
          </wp:positionH>
          <wp:positionV relativeFrom="paragraph">
            <wp:posOffset>-331470</wp:posOffset>
          </wp:positionV>
          <wp:extent cx="2919730" cy="755650"/>
          <wp:effectExtent l="0" t="0" r="0" b="635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C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973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3354"/>
    <w:multiLevelType w:val="hybridMultilevel"/>
    <w:tmpl w:val="F70ADBD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27DD"/>
    <w:multiLevelType w:val="hybridMultilevel"/>
    <w:tmpl w:val="350C83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25EA9"/>
    <w:multiLevelType w:val="hybridMultilevel"/>
    <w:tmpl w:val="744C25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21F71"/>
    <w:multiLevelType w:val="hybridMultilevel"/>
    <w:tmpl w:val="C9BE3262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62A56"/>
    <w:multiLevelType w:val="hybridMultilevel"/>
    <w:tmpl w:val="707000D2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0E"/>
    <w:rsid w:val="0001221D"/>
    <w:rsid w:val="00021C6F"/>
    <w:rsid w:val="00047B74"/>
    <w:rsid w:val="00050385"/>
    <w:rsid w:val="00142A13"/>
    <w:rsid w:val="00143F34"/>
    <w:rsid w:val="001E6590"/>
    <w:rsid w:val="00212CB4"/>
    <w:rsid w:val="00225BB1"/>
    <w:rsid w:val="00276AAF"/>
    <w:rsid w:val="00284832"/>
    <w:rsid w:val="00330B0C"/>
    <w:rsid w:val="003472F0"/>
    <w:rsid w:val="00425332"/>
    <w:rsid w:val="004634C4"/>
    <w:rsid w:val="004E025C"/>
    <w:rsid w:val="0053634E"/>
    <w:rsid w:val="005A69D8"/>
    <w:rsid w:val="00636F9E"/>
    <w:rsid w:val="00656EF6"/>
    <w:rsid w:val="00687971"/>
    <w:rsid w:val="0075210E"/>
    <w:rsid w:val="00827030"/>
    <w:rsid w:val="008B75E3"/>
    <w:rsid w:val="008E13BD"/>
    <w:rsid w:val="00974ABB"/>
    <w:rsid w:val="009A7E2A"/>
    <w:rsid w:val="009D4735"/>
    <w:rsid w:val="00A04305"/>
    <w:rsid w:val="00AF680D"/>
    <w:rsid w:val="00BE1724"/>
    <w:rsid w:val="00C17302"/>
    <w:rsid w:val="00CF1D22"/>
    <w:rsid w:val="00D1778D"/>
    <w:rsid w:val="00DE4B60"/>
    <w:rsid w:val="00F60844"/>
    <w:rsid w:val="00F94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521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210E"/>
  </w:style>
  <w:style w:type="paragraph" w:styleId="Piedepgina">
    <w:name w:val="footer"/>
    <w:basedOn w:val="Normal"/>
    <w:link w:val="PiedepginaCar"/>
    <w:uiPriority w:val="99"/>
    <w:unhideWhenUsed/>
    <w:rsid w:val="007521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10E"/>
  </w:style>
  <w:style w:type="paragraph" w:styleId="Prrafodelista">
    <w:name w:val="List Paragraph"/>
    <w:basedOn w:val="Normal"/>
    <w:uiPriority w:val="34"/>
    <w:qFormat/>
    <w:rsid w:val="007521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521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210E"/>
  </w:style>
  <w:style w:type="paragraph" w:styleId="Piedepgina">
    <w:name w:val="footer"/>
    <w:basedOn w:val="Normal"/>
    <w:link w:val="PiedepginaCar"/>
    <w:uiPriority w:val="99"/>
    <w:unhideWhenUsed/>
    <w:rsid w:val="007521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10E"/>
  </w:style>
  <w:style w:type="paragraph" w:styleId="Prrafodelista">
    <w:name w:val="List Paragraph"/>
    <w:basedOn w:val="Normal"/>
    <w:uiPriority w:val="34"/>
    <w:qFormat/>
    <w:rsid w:val="007521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Lopez Roa</dc:creator>
  <cp:lastModifiedBy>Sandra Consuelo Gutierrez Hernandez</cp:lastModifiedBy>
  <cp:revision>2</cp:revision>
  <dcterms:created xsi:type="dcterms:W3CDTF">2015-01-16T21:48:00Z</dcterms:created>
  <dcterms:modified xsi:type="dcterms:W3CDTF">2015-01-16T21:48:00Z</dcterms:modified>
</cp:coreProperties>
</file>