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23"/>
        <w:gridCol w:w="2474"/>
        <w:gridCol w:w="1319"/>
        <w:gridCol w:w="2244"/>
        <w:gridCol w:w="1322"/>
        <w:gridCol w:w="70"/>
        <w:gridCol w:w="1082"/>
        <w:gridCol w:w="3290"/>
        <w:gridCol w:w="230"/>
        <w:gridCol w:w="202"/>
        <w:gridCol w:w="568"/>
        <w:gridCol w:w="146"/>
        <w:gridCol w:w="568"/>
        <w:gridCol w:w="691"/>
      </w:tblGrid>
      <w:tr w:rsidR="00214EA6" w:rsidRPr="005B5B53" w:rsidTr="00BF6172">
        <w:trPr>
          <w:gridAfter w:val="6"/>
          <w:wAfter w:w="2405" w:type="dxa"/>
          <w:trHeight w:val="1140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E7" w:rsidRPr="005B5B53" w:rsidRDefault="00802585" w:rsidP="00387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AB7D06" wp14:editId="5BE8358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81280</wp:posOffset>
                      </wp:positionV>
                      <wp:extent cx="1781175" cy="495300"/>
                      <wp:effectExtent l="0" t="0" r="28575" b="19050"/>
                      <wp:wrapNone/>
                      <wp:docPr id="3" name="Rectángulo redondead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B948EA-E7E3-4A62-8AE0-7E8FA9CD3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770E" w:rsidRDefault="006E770E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1"/>
                                      <w:szCs w:val="21"/>
                                    </w:rPr>
                                    <w:t>INFORME DE AUDITORÍAS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B7D06" id="Rectángulo redondeado 3" o:spid="_x0000_s1026" style="position:absolute;margin-left:153.5pt;margin-top:6.4pt;width:140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" fillcolor="maroon" strokecolor="maroon" strokeweight="1pt">
                      <v:stroke joinstyle="miter"/>
                      <v:textbox>
                        <w:txbxContent>
                          <w:p w:rsidR="006E770E" w:rsidRDefault="006E770E" w:rsidP="003870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1"/>
                                <w:szCs w:val="21"/>
                              </w:rPr>
                              <w:t>INFORME DE AUDITORÍAS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70E7" w:rsidRPr="005B5B5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162050" cy="533400"/>
                  <wp:effectExtent l="0" t="0" r="0" b="0"/>
                  <wp:wrapNone/>
                  <wp:docPr id="2100" name="Imagen 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870E7" w:rsidRPr="005B5B53">
              <w:trPr>
                <w:trHeight w:val="114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0E7" w:rsidRPr="005B5B53" w:rsidRDefault="003870E7" w:rsidP="003870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5B5B5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E7" w:rsidRPr="005B5B53" w:rsidRDefault="00802585" w:rsidP="00387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FF18B4" wp14:editId="3463930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-8255</wp:posOffset>
                      </wp:positionV>
                      <wp:extent cx="1675130" cy="619125"/>
                      <wp:effectExtent l="0" t="0" r="20320" b="28575"/>
                      <wp:wrapNone/>
                      <wp:docPr id="1" name="Rectángulo redondeado 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619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2585" w:rsidRDefault="00802585" w:rsidP="008025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Código: EAD-FT-07 Versión: 01</w:t>
                                  </w:r>
                                </w:p>
                                <w:p w:rsidR="00802585" w:rsidRDefault="00802585" w:rsidP="0080258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Rige a partir de su publicación en el SIG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F18B4" id="Rectángulo redondeado 4" o:spid="_x0000_s1027" style="position:absolute;margin-left:34.5pt;margin-top:-.65pt;width:131.9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" filled="f" strokecolor="maroon" strokeweight="1pt">
                      <v:stroke joinstyle="miter"/>
                      <v:textbox>
                        <w:txbxContent>
                          <w:p w:rsidR="00802585" w:rsidRDefault="00802585" w:rsidP="008025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Código: EAD-FT-07 Versión: 01</w:t>
                            </w:r>
                          </w:p>
                          <w:p w:rsidR="00802585" w:rsidRDefault="00802585" w:rsidP="008025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Rige a partir de su publicación en el SIG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3870E7" w:rsidRPr="005B5B53">
              <w:trPr>
                <w:trHeight w:val="114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0E7" w:rsidRPr="005B5B53" w:rsidRDefault="003870E7" w:rsidP="003870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5B5B5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76835</wp:posOffset>
                      </wp:positionV>
                      <wp:extent cx="1675130" cy="619125"/>
                      <wp:effectExtent l="0" t="0" r="20320" b="28575"/>
                      <wp:wrapNone/>
                      <wp:docPr id="4" name="Rectángulo redondead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BC1671-4566-41C4-BE33-5046322B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619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770E" w:rsidRDefault="006E770E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Código: EAD-FT-07 Versión: 01</w:t>
                                  </w:r>
                                </w:p>
                                <w:p w:rsidR="006E770E" w:rsidRDefault="006E770E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Rige a partir de su publicación en el SIG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4" o:spid="_x0000_s1027" style="position:absolute;margin-left:21.7pt;margin-top:6.05pt;width:131.9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" filled="f" strokecolor="maroon" strokeweight="1pt">
                      <v:stroke joinstyle="miter"/>
                      <v:textbox>
                        <w:txbxContent>
                          <w:p w:rsidR="006E770E" w:rsidRDefault="006E770E" w:rsidP="003870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Código: EAD-FT-07 Versión: 01</w:t>
                            </w:r>
                          </w:p>
                          <w:p w:rsidR="006E770E" w:rsidRDefault="006E770E" w:rsidP="003870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Rige a partir de su publicación en el SIG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3870E7" w:rsidRPr="005B5B53">
              <w:trPr>
                <w:trHeight w:val="1140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0E7" w:rsidRPr="005B5B53" w:rsidRDefault="003870E7" w:rsidP="003870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5B5B5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30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 xml:space="preserve">INFORME DE AUDITORÍA </w:t>
            </w:r>
          </w:p>
        </w:tc>
      </w:tr>
      <w:tr w:rsidR="00D16CB6" w:rsidRPr="005B5B53" w:rsidTr="00BF6172">
        <w:trPr>
          <w:gridAfter w:val="8"/>
          <w:wAfter w:w="5855" w:type="dxa"/>
          <w:trHeight w:val="375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Numero de Auditoria: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1054C1" w:rsidRPr="005B5B53">
              <w:rPr>
                <w:rFonts w:ascii="Arial" w:eastAsia="Times New Roman" w:hAnsi="Arial" w:cs="Arial"/>
                <w:color w:val="000000"/>
                <w:lang w:eastAsia="es-CO"/>
              </w:rPr>
              <w:t>201</w:t>
            </w:r>
            <w:r w:rsidR="001C7334" w:rsidRPr="005B5B53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  <w:r w:rsidR="00174108" w:rsidRPr="005B5B53">
              <w:rPr>
                <w:rFonts w:ascii="Arial" w:eastAsia="Times New Roman" w:hAnsi="Arial" w:cs="Arial"/>
                <w:color w:val="000000"/>
                <w:lang w:eastAsia="es-CO"/>
              </w:rPr>
              <w:t>-</w:t>
            </w:r>
            <w:r w:rsidR="00510B44">
              <w:rPr>
                <w:rFonts w:ascii="Arial" w:eastAsia="Times New Roman" w:hAnsi="Arial" w:cs="Arial"/>
                <w:color w:val="000000"/>
                <w:lang w:eastAsia="es-CO"/>
              </w:rPr>
              <w:t>G-12</w:t>
            </w:r>
          </w:p>
        </w:tc>
      </w:tr>
      <w:tr w:rsidR="003870E7" w:rsidRPr="005B5B53" w:rsidTr="00BF6172">
        <w:trPr>
          <w:gridAfter w:val="8"/>
          <w:wAfter w:w="5855" w:type="dxa"/>
          <w:trHeight w:val="300"/>
        </w:trPr>
        <w:tc>
          <w:tcPr>
            <w:tcW w:w="10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bookmarkStart w:id="0" w:name="_GoBack"/>
        <w:bookmarkEnd w:id="0"/>
      </w:tr>
      <w:tr w:rsidR="00214EA6" w:rsidRPr="005B5B53" w:rsidTr="00BF6172">
        <w:trPr>
          <w:gridAfter w:val="5"/>
          <w:wAfter w:w="2175" w:type="dxa"/>
          <w:trHeight w:val="30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60" w:rsidRPr="005B5B53" w:rsidRDefault="005A4260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Reunión de Apertura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60" w:rsidRPr="005B5B53" w:rsidRDefault="005A4260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60" w:rsidRPr="005B5B53" w:rsidRDefault="005A4260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Reunión de Cierre</w:t>
            </w:r>
          </w:p>
        </w:tc>
      </w:tr>
      <w:tr w:rsidR="00214EA6" w:rsidRPr="005B5B53" w:rsidTr="00BF6172">
        <w:trPr>
          <w:trHeight w:val="37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Día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474313" w:rsidRPr="005B5B53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Mes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474313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5B5B53" w:rsidRDefault="005A4260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color w:val="000000" w:themeColor="text1"/>
                <w:lang w:eastAsia="es-CO"/>
              </w:rPr>
              <w:t>Año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60" w:rsidRPr="005B5B53" w:rsidRDefault="005A4260" w:rsidP="005A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2018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E7" w:rsidRPr="005B5B53" w:rsidRDefault="003870E7" w:rsidP="005A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7E6E6"/>
                <w:lang w:eastAsia="es-CO"/>
              </w:rPr>
            </w:pPr>
            <w:r w:rsidRPr="005B5B53">
              <w:rPr>
                <w:rFonts w:ascii="Arial" w:eastAsia="Times New Roman" w:hAnsi="Arial" w:cs="Arial"/>
                <w:color w:val="E7E6E6"/>
                <w:lang w:eastAsia="es-CO"/>
              </w:rPr>
              <w:t>DDMAAA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Día 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Mes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Año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  <w:r w:rsidR="00FD502E"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2018</w:t>
            </w:r>
          </w:p>
        </w:tc>
      </w:tr>
      <w:tr w:rsidR="003870E7" w:rsidRPr="005B5B53" w:rsidTr="00BF6172">
        <w:trPr>
          <w:gridAfter w:val="8"/>
          <w:wAfter w:w="5855" w:type="dxa"/>
          <w:trHeight w:val="63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5B5B53" w:rsidRDefault="003870E7" w:rsidP="0017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LÍDER DE PROCESO / JEFE(S) DEPENDENCIA(S)</w:t>
            </w:r>
            <w:r w:rsidR="000E67BA"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="004B4A3A" w:rsidRPr="005B5B53">
              <w:rPr>
                <w:rFonts w:ascii="Arial" w:eastAsia="Times New Roman" w:hAnsi="Arial" w:cs="Arial"/>
                <w:lang w:eastAsia="es-CO"/>
              </w:rPr>
              <w:t>Santiago Fernández de Soto Pombo</w:t>
            </w:r>
          </w:p>
        </w:tc>
      </w:tr>
      <w:tr w:rsidR="003870E7" w:rsidRPr="005B5B53" w:rsidTr="00BF6172">
        <w:trPr>
          <w:gridAfter w:val="8"/>
          <w:wAfter w:w="5855" w:type="dxa"/>
          <w:trHeight w:val="118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4A8" w:rsidRPr="005B5B53" w:rsidRDefault="00E844A8" w:rsidP="00E844A8">
            <w:pPr>
              <w:rPr>
                <w:rFonts w:ascii="Arial" w:eastAsia="Times New Roman" w:hAnsi="Arial" w:cs="Arial"/>
                <w:b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lang w:eastAsia="es-CO"/>
              </w:rPr>
              <w:t>EQUIPO AUDITOR</w:t>
            </w:r>
          </w:p>
          <w:p w:rsidR="00E844A8" w:rsidRPr="005B5B53" w:rsidRDefault="00E844A8" w:rsidP="00E844A8">
            <w:pPr>
              <w:rPr>
                <w:rFonts w:ascii="Arial" w:eastAsia="Times New Roman" w:hAnsi="Arial" w:cs="Arial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lang w:eastAsia="es-CO"/>
              </w:rPr>
              <w:t>AUDITOR LIDER:</w:t>
            </w:r>
            <w:r w:rsidRPr="005B5B53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2F3AB4" w:rsidRPr="005B5B53">
              <w:rPr>
                <w:rFonts w:ascii="Arial" w:eastAsia="Times New Roman" w:hAnsi="Arial" w:cs="Arial"/>
                <w:lang w:eastAsia="es-CO"/>
              </w:rPr>
              <w:t xml:space="preserve">Jessica Paola Ortiz Mendez </w:t>
            </w:r>
          </w:p>
          <w:p w:rsidR="003870E7" w:rsidRPr="005B5B53" w:rsidRDefault="00E844A8" w:rsidP="00E844A8">
            <w:pPr>
              <w:rPr>
                <w:rFonts w:ascii="Arial" w:eastAsia="Times New Roman" w:hAnsi="Arial" w:cs="Arial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lang w:eastAsia="es-CO"/>
              </w:rPr>
              <w:t>AUDITOR GESTION:</w:t>
            </w:r>
            <w:r w:rsidRPr="005B5B53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474313" w:rsidRPr="005B5B53">
              <w:rPr>
                <w:rFonts w:ascii="Arial" w:eastAsia="Times New Roman" w:hAnsi="Arial" w:cs="Arial"/>
                <w:lang w:eastAsia="es-CO"/>
              </w:rPr>
              <w:t xml:space="preserve">Mónica Alexandra González Moreno, </w:t>
            </w:r>
            <w:r w:rsidR="001C7334" w:rsidRPr="005B5B53">
              <w:rPr>
                <w:rFonts w:ascii="Arial" w:eastAsia="Times New Roman" w:hAnsi="Arial" w:cs="Arial"/>
                <w:lang w:eastAsia="es-CO"/>
              </w:rPr>
              <w:t>Jonnathan Cortes Rivera</w:t>
            </w:r>
            <w:r w:rsidR="00474313" w:rsidRPr="005B5B53">
              <w:rPr>
                <w:rFonts w:ascii="Arial" w:eastAsia="Times New Roman" w:hAnsi="Arial" w:cs="Arial"/>
                <w:lang w:eastAsia="es-CO"/>
              </w:rPr>
              <w:t>, Luz Yanira Salamanca</w:t>
            </w: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4A8" w:rsidRPr="005B5B53" w:rsidRDefault="003870E7" w:rsidP="002F3A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OBJETIVO DE AUDITORÍA:</w:t>
            </w:r>
            <w:r w:rsidR="00FD502E"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2F3AB4" w:rsidRPr="005B5B53">
              <w:rPr>
                <w:rFonts w:ascii="Arial" w:eastAsia="Times New Roman" w:hAnsi="Arial" w:cs="Arial"/>
                <w:lang w:eastAsia="es-CO"/>
              </w:rPr>
              <w:t>Evaluar de manera independiente y objetiva la eficacia, eficiencia y efectividad del Proceso “Gesti</w:t>
            </w:r>
            <w:r w:rsidR="00510B44">
              <w:rPr>
                <w:rFonts w:ascii="Arial" w:eastAsia="Times New Roman" w:hAnsi="Arial" w:cs="Arial"/>
                <w:lang w:eastAsia="es-CO"/>
              </w:rPr>
              <w:t>ó</w:t>
            </w:r>
            <w:r w:rsidR="002F3AB4" w:rsidRPr="005B5B53">
              <w:rPr>
                <w:rFonts w:ascii="Arial" w:eastAsia="Times New Roman" w:hAnsi="Arial" w:cs="Arial"/>
                <w:lang w:eastAsia="es-CO"/>
              </w:rPr>
              <w:t>n</w:t>
            </w:r>
            <w:r w:rsidR="00510B44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 w:rsidR="002F3AB4" w:rsidRPr="005B5B53">
              <w:rPr>
                <w:rFonts w:ascii="Arial" w:eastAsia="Times New Roman" w:hAnsi="Arial" w:cs="Arial"/>
                <w:lang w:eastAsia="es-CO"/>
              </w:rPr>
              <w:t>Alianzas”, con el fin de identificar oportunidades de mejora que contribuyan al cumplimiento de los objetivos institucionales.</w:t>
            </w: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B4" w:rsidRPr="005B5B53" w:rsidRDefault="003870E7" w:rsidP="002F3AB4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ALCANCE DE AUDITORÍA:</w:t>
            </w:r>
            <w:r w:rsidR="00FD502E"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2F3AB4"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2F3AB4" w:rsidRPr="005B5B53">
              <w:rPr>
                <w:rFonts w:ascii="Arial" w:eastAsia="Times New Roman" w:hAnsi="Arial" w:cs="Arial"/>
                <w:bCs/>
                <w:color w:val="000000"/>
                <w:lang w:val="es-ES"/>
              </w:rPr>
              <w:t>El alcance de la auditoría al proceso de “</w:t>
            </w:r>
            <w:r w:rsidR="002F3AB4" w:rsidRPr="005B5B5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Gesti</w:t>
            </w:r>
            <w:r w:rsidR="00510B44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ó</w:t>
            </w:r>
            <w:r w:rsidR="002F3AB4" w:rsidRPr="005B5B5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n</w:t>
            </w:r>
            <w:r w:rsidR="00510B44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de</w:t>
            </w:r>
            <w:r w:rsidR="002F3AB4" w:rsidRPr="005B5B5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Alianzas”</w:t>
            </w:r>
            <w:r w:rsidR="009C7979" w:rsidRPr="005B5B53">
              <w:rPr>
                <w:rFonts w:ascii="Arial" w:eastAsia="Times New Roman" w:hAnsi="Arial" w:cs="Arial"/>
                <w:bCs/>
                <w:color w:val="000000"/>
                <w:lang w:val="es-ES"/>
              </w:rPr>
              <w:t>, comprende la revisión de los siguientes procedimientos</w:t>
            </w:r>
          </w:p>
          <w:p w:rsidR="0087385F" w:rsidRPr="005B5B53" w:rsidRDefault="00474313" w:rsidP="002F3AB4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Gestión de Alianzas</w:t>
            </w:r>
          </w:p>
          <w:p w:rsidR="0087385F" w:rsidRPr="005B5B53" w:rsidRDefault="00474313" w:rsidP="002F3AB4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Oferta de Cooperación</w:t>
            </w:r>
          </w:p>
          <w:p w:rsidR="00A15F32" w:rsidRPr="005B5B53" w:rsidRDefault="00D72D9B" w:rsidP="00A15F32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                                                                  </w:t>
            </w:r>
          </w:p>
          <w:p w:rsidR="004961A8" w:rsidRPr="005B5B53" w:rsidRDefault="002F3AB4" w:rsidP="002F3A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El periodo definido como objeto de revisión </w:t>
            </w:r>
            <w:r w:rsidR="00510B44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es el</w:t>
            </w: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comprendido entre el </w:t>
            </w:r>
            <w:r w:rsidR="00510B44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1º</w:t>
            </w: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de agosto de 2017 al 30 de septiembre de 2018.</w:t>
            </w: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91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D1" w:rsidRPr="005B5B53" w:rsidRDefault="009557D1" w:rsidP="004743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377D13" w:rsidRPr="005B5B53" w:rsidRDefault="003870E7" w:rsidP="00377D13">
            <w:pPr>
              <w:tabs>
                <w:tab w:val="left" w:pos="3450"/>
              </w:tabs>
              <w:spacing w:after="20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CRITERIOS DE AUDITORÍA:</w:t>
            </w:r>
            <w:r w:rsidR="00FD502E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9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 xml:space="preserve">Documentación publicada en el SIG – Sistema Integrado de Gestión, como referencia. 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9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Información publicada en la página web de la entidad.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9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Normatividad aplicable a cada proceso</w:t>
            </w:r>
          </w:p>
          <w:p w:rsidR="00377D13" w:rsidRPr="005B5B53" w:rsidRDefault="00377D13" w:rsidP="00377D13">
            <w:pPr>
              <w:pStyle w:val="Prrafodelista"/>
              <w:tabs>
                <w:tab w:val="left" w:pos="3450"/>
              </w:tabs>
              <w:ind w:left="1276"/>
              <w:jc w:val="both"/>
              <w:rPr>
                <w:rFonts w:ascii="Arial" w:hAnsi="Arial" w:cs="Arial"/>
              </w:rPr>
            </w:pP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8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Constitución Política de Colombia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8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 xml:space="preserve">Ley 80 de 1993 </w:t>
            </w:r>
            <w:r w:rsidRPr="00510B44">
              <w:rPr>
                <w:rFonts w:ascii="Arial" w:hAnsi="Arial" w:cs="Arial"/>
                <w:i/>
              </w:rPr>
              <w:t xml:space="preserve">“por medio de la cual se expide el Estatuto General de Contratación de la administración </w:t>
            </w:r>
            <w:r w:rsidR="00BF6172" w:rsidRPr="00510B44">
              <w:rPr>
                <w:rFonts w:ascii="Arial" w:hAnsi="Arial" w:cs="Arial"/>
                <w:i/>
              </w:rPr>
              <w:t>Pública</w:t>
            </w:r>
            <w:r w:rsidRPr="00510B44">
              <w:rPr>
                <w:rFonts w:ascii="Arial" w:hAnsi="Arial" w:cs="Arial"/>
                <w:i/>
              </w:rPr>
              <w:t>”</w:t>
            </w:r>
          </w:p>
          <w:p w:rsidR="00377D13" w:rsidRPr="00510B44" w:rsidRDefault="00377D13" w:rsidP="00377D13">
            <w:pPr>
              <w:pStyle w:val="Prrafodelista"/>
              <w:numPr>
                <w:ilvl w:val="0"/>
                <w:numId w:val="38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 w:rsidRPr="005B5B53">
              <w:rPr>
                <w:rFonts w:ascii="Arial" w:hAnsi="Arial" w:cs="Arial"/>
              </w:rPr>
              <w:t xml:space="preserve">Ley 1150 de 2007 </w:t>
            </w:r>
            <w:r w:rsidRPr="00510B44">
              <w:rPr>
                <w:rFonts w:ascii="Arial" w:hAnsi="Arial" w:cs="Arial"/>
                <w:i/>
              </w:rPr>
              <w:t>“por medio de la cual se introducen medidas para la eficiencia y la transparencia en la Ley 80 de 1993 y se dictan disposiciones generales sobre la contratación con recursos públicos”.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708"/>
                <w:tab w:val="left" w:pos="345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Ley 489 de 1998 artículos 965</w:t>
            </w:r>
            <w:r w:rsidR="00510B44">
              <w:rPr>
                <w:rFonts w:ascii="Arial" w:hAnsi="Arial" w:cs="Arial"/>
              </w:rPr>
              <w:t xml:space="preserve"> </w:t>
            </w:r>
            <w:r w:rsidRPr="005B5B53">
              <w:rPr>
                <w:rFonts w:ascii="Arial" w:hAnsi="Arial" w:cs="Arial"/>
              </w:rPr>
              <w:t>y 96, en los cuales se definen los Convenios de asociación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708"/>
                <w:tab w:val="left" w:pos="345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Ley 29 de 1990 “</w:t>
            </w:r>
            <w:r w:rsidRPr="00510B44">
              <w:rPr>
                <w:rFonts w:ascii="Arial" w:hAnsi="Arial" w:cs="Arial"/>
                <w:i/>
              </w:rPr>
              <w:t>Por la cual se dictan disposiciones para el fomento de la investigación científica y el desarrollo tecnológico y se otorgan facultades extraordinarias</w:t>
            </w:r>
            <w:r w:rsidRPr="005B5B53">
              <w:rPr>
                <w:rFonts w:ascii="Arial" w:hAnsi="Arial" w:cs="Arial"/>
              </w:rPr>
              <w:t>”</w:t>
            </w:r>
          </w:p>
          <w:p w:rsidR="00377D13" w:rsidRPr="005B5B53" w:rsidRDefault="00377D13" w:rsidP="00377D13">
            <w:pPr>
              <w:pStyle w:val="Listaconvietas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B5B53">
              <w:rPr>
                <w:rFonts w:cs="Arial"/>
                <w:color w:val="auto"/>
                <w:sz w:val="22"/>
                <w:szCs w:val="22"/>
              </w:rPr>
              <w:lastRenderedPageBreak/>
              <w:t xml:space="preserve">   Ley 30 de 1992 “</w:t>
            </w:r>
            <w:r w:rsidRPr="00510B44">
              <w:rPr>
                <w:rFonts w:cs="Arial"/>
                <w:i/>
                <w:color w:val="auto"/>
                <w:sz w:val="22"/>
                <w:szCs w:val="22"/>
              </w:rPr>
              <w:t>Por el cual se organiza el servicio público de la Educación Superior</w:t>
            </w:r>
            <w:r w:rsidRPr="005B5B53">
              <w:rPr>
                <w:rFonts w:cs="Arial"/>
                <w:color w:val="auto"/>
                <w:sz w:val="22"/>
                <w:szCs w:val="22"/>
              </w:rPr>
              <w:t>.”</w:t>
            </w:r>
          </w:p>
          <w:p w:rsidR="00377D13" w:rsidRPr="005B5B53" w:rsidRDefault="00377D13" w:rsidP="00377D13">
            <w:pPr>
              <w:pStyle w:val="Listaconvietas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B5B53">
              <w:rPr>
                <w:rFonts w:cs="Arial"/>
                <w:color w:val="auto"/>
                <w:sz w:val="22"/>
                <w:szCs w:val="22"/>
              </w:rPr>
              <w:t xml:space="preserve">   Ley 115 de 1994 “</w:t>
            </w:r>
            <w:r w:rsidRPr="00510B44">
              <w:rPr>
                <w:rFonts w:cs="Arial"/>
                <w:i/>
                <w:color w:val="auto"/>
                <w:sz w:val="22"/>
                <w:szCs w:val="22"/>
              </w:rPr>
              <w:t>Por la cual se expide la ley general de educación</w:t>
            </w:r>
            <w:r w:rsidRPr="005B5B53">
              <w:rPr>
                <w:rFonts w:cs="Arial"/>
                <w:color w:val="auto"/>
                <w:sz w:val="22"/>
                <w:szCs w:val="22"/>
              </w:rPr>
              <w:t>”.</w:t>
            </w:r>
          </w:p>
          <w:p w:rsidR="00377D13" w:rsidRPr="00510B44" w:rsidRDefault="00377D13" w:rsidP="00377D13">
            <w:pPr>
              <w:pStyle w:val="Listaconvietas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i/>
                <w:color w:val="auto"/>
                <w:sz w:val="22"/>
                <w:szCs w:val="22"/>
              </w:rPr>
            </w:pPr>
            <w:r w:rsidRPr="005B5B53">
              <w:rPr>
                <w:rFonts w:cs="Arial"/>
                <w:color w:val="auto"/>
                <w:sz w:val="22"/>
                <w:szCs w:val="22"/>
              </w:rPr>
              <w:t xml:space="preserve">   Ley 1753 de 2015 “</w:t>
            </w:r>
            <w:r w:rsidRPr="00510B44">
              <w:rPr>
                <w:rFonts w:cs="Arial"/>
                <w:i/>
                <w:color w:val="auto"/>
                <w:sz w:val="22"/>
                <w:szCs w:val="22"/>
              </w:rPr>
              <w:t xml:space="preserve">Por la cual se expide el Plan Nacional de Desarrollo 2014-2018 </w:t>
            </w:r>
            <w:r w:rsidR="00510B44" w:rsidRPr="00510B44">
              <w:rPr>
                <w:rFonts w:cs="Arial"/>
                <w:i/>
                <w:color w:val="auto"/>
                <w:sz w:val="22"/>
                <w:szCs w:val="22"/>
              </w:rPr>
              <w:t>“</w:t>
            </w:r>
            <w:r w:rsidRPr="00510B44">
              <w:rPr>
                <w:rFonts w:cs="Arial"/>
                <w:i/>
                <w:color w:val="auto"/>
                <w:sz w:val="22"/>
                <w:szCs w:val="22"/>
              </w:rPr>
              <w:t>Todos por un nuevo país”.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8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Manual de contratación del Ministerio de Educación Nacional</w:t>
            </w:r>
          </w:p>
          <w:p w:rsidR="00377D13" w:rsidRPr="005B5B53" w:rsidRDefault="00377D13" w:rsidP="00377D13">
            <w:pPr>
              <w:pStyle w:val="Prrafodelista"/>
              <w:numPr>
                <w:ilvl w:val="0"/>
                <w:numId w:val="38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Circulares externas Colombia.</w:t>
            </w:r>
          </w:p>
          <w:p w:rsidR="00FD502E" w:rsidRPr="005B5B53" w:rsidRDefault="00377D13" w:rsidP="00377D13">
            <w:pPr>
              <w:pStyle w:val="Prrafodelista"/>
              <w:numPr>
                <w:ilvl w:val="0"/>
                <w:numId w:val="38"/>
              </w:numPr>
              <w:tabs>
                <w:tab w:val="left" w:pos="3450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Demás normas concordantes.</w:t>
            </w: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300"/>
        </w:trPr>
        <w:tc>
          <w:tcPr>
            <w:tcW w:w="10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9B1" w:rsidRPr="005B5B53" w:rsidRDefault="00EC39B1" w:rsidP="0047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30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RESUMEN GENERAL</w:t>
            </w: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988" w:rsidRPr="005B5B53" w:rsidRDefault="00811988" w:rsidP="008119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RIESGOS Y EVALUACIÓN DE CONTROLES:</w:t>
            </w:r>
          </w:p>
          <w:p w:rsidR="00B74A3D" w:rsidRPr="005B5B53" w:rsidRDefault="00B74A3D" w:rsidP="00B74A3D">
            <w:pPr>
              <w:spacing w:after="0" w:line="240" w:lineRule="auto"/>
              <w:ind w:left="-605" w:right="42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</w:p>
          <w:p w:rsidR="009557D1" w:rsidRPr="005B5B53" w:rsidRDefault="00B74A3D" w:rsidP="005D5810">
            <w:pPr>
              <w:spacing w:after="0" w:line="240" w:lineRule="auto"/>
              <w:ind w:left="-605" w:right="42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</w:t>
            </w:r>
            <w:proofErr w:type="spellStart"/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>E</w:t>
            </w:r>
            <w:r w:rsidRPr="005B5B53">
              <w:rPr>
                <w:rFonts w:ascii="Arial" w:eastAsia="Times New Roman" w:hAnsi="Arial" w:cs="Arial"/>
                <w:bCs/>
                <w:lang w:eastAsia="es-CO"/>
              </w:rPr>
              <w:t>vid</w:t>
            </w:r>
            <w:proofErr w:type="spellEnd"/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</w:t>
            </w:r>
            <w:r w:rsidR="009C4B6E" w:rsidRPr="005B5B53">
              <w:rPr>
                <w:rFonts w:ascii="Arial" w:eastAsia="Times New Roman" w:hAnsi="Arial" w:cs="Arial"/>
                <w:bCs/>
                <w:lang w:eastAsia="es-CO"/>
              </w:rPr>
              <w:t>Se evidenció que el Proceso</w:t>
            </w:r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“Gesti</w:t>
            </w:r>
            <w:r w:rsidR="005D5810">
              <w:rPr>
                <w:rFonts w:ascii="Arial" w:eastAsia="Times New Roman" w:hAnsi="Arial" w:cs="Arial"/>
                <w:bCs/>
                <w:lang w:eastAsia="es-CO"/>
              </w:rPr>
              <w:t>ó</w:t>
            </w:r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>n</w:t>
            </w:r>
            <w:r w:rsidR="005D5810">
              <w:rPr>
                <w:rFonts w:ascii="Arial" w:eastAsia="Times New Roman" w:hAnsi="Arial" w:cs="Arial"/>
                <w:bCs/>
                <w:lang w:eastAsia="es-CO"/>
              </w:rPr>
              <w:t xml:space="preserve"> de</w:t>
            </w:r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Alianzas”</w:t>
            </w:r>
            <w:r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cuenta con la identificación y formulación </w:t>
            </w:r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>de los</w:t>
            </w:r>
            <w:r w:rsidR="005D5810">
              <w:rPr>
                <w:rFonts w:ascii="Arial" w:eastAsia="Times New Roman" w:hAnsi="Arial" w:cs="Arial"/>
                <w:bCs/>
                <w:lang w:eastAsia="es-CO"/>
              </w:rPr>
              <w:t xml:space="preserve"> </w:t>
            </w:r>
          </w:p>
          <w:p w:rsidR="00B74A3D" w:rsidRPr="005B5B53" w:rsidRDefault="009557D1" w:rsidP="005D5810">
            <w:pPr>
              <w:spacing w:after="0" w:line="240" w:lineRule="auto"/>
              <w:ind w:left="-605" w:right="42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  <w:proofErr w:type="spellStart"/>
            <w:r w:rsidRPr="005B5B53">
              <w:rPr>
                <w:rFonts w:ascii="Arial" w:eastAsia="Times New Roman" w:hAnsi="Arial" w:cs="Arial"/>
                <w:bCs/>
                <w:lang w:eastAsia="es-CO"/>
              </w:rPr>
              <w:t>pr</w:t>
            </w:r>
            <w:proofErr w:type="spellEnd"/>
            <w:r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       </w:t>
            </w:r>
            <w:r w:rsidR="00377D13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riesgos de </w:t>
            </w:r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>proceso y de c</w:t>
            </w:r>
            <w:r w:rsidR="00B74A3D" w:rsidRPr="005B5B53">
              <w:rPr>
                <w:rFonts w:ascii="Arial" w:eastAsia="Times New Roman" w:hAnsi="Arial" w:cs="Arial"/>
                <w:bCs/>
                <w:lang w:eastAsia="es-CO"/>
              </w:rPr>
              <w:t>orrupción en la matriz correspondiente del Sistema Integrado de Gestión SIG</w:t>
            </w:r>
            <w:r w:rsidR="005D5810">
              <w:rPr>
                <w:rFonts w:ascii="Arial" w:eastAsia="Times New Roman" w:hAnsi="Arial" w:cs="Arial"/>
                <w:bCs/>
                <w:lang w:eastAsia="es-CO"/>
              </w:rPr>
              <w:t>:</w:t>
            </w:r>
            <w:r w:rsidR="00B74A3D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estos </w:t>
            </w:r>
            <w:r w:rsidR="00377D13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</w:t>
            </w:r>
          </w:p>
          <w:p w:rsidR="00B74A3D" w:rsidRPr="005B5B53" w:rsidRDefault="008F66E3" w:rsidP="008F66E3">
            <w:pPr>
              <w:pStyle w:val="Prrafodelista"/>
              <w:spacing w:line="256" w:lineRule="auto"/>
              <w:ind w:left="0" w:right="42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1.</w:t>
            </w:r>
            <w:r w:rsidR="009557D1" w:rsidRPr="005B5B53">
              <w:rPr>
                <w:rFonts w:ascii="Arial" w:hAnsi="Arial" w:cs="Arial"/>
              </w:rPr>
              <w:t xml:space="preserve"> </w:t>
            </w:r>
            <w:r w:rsidR="00B74A3D" w:rsidRPr="005B5B53">
              <w:rPr>
                <w:rFonts w:ascii="Arial" w:hAnsi="Arial" w:cs="Arial"/>
              </w:rPr>
              <w:t>Incumplimiento de los compromisos adquiridos por el MEN con aliados nacionales, internacionales, públicos y/o privados.</w:t>
            </w:r>
          </w:p>
          <w:p w:rsidR="009557D1" w:rsidRPr="005B5B53" w:rsidRDefault="008F66E3" w:rsidP="009557D1">
            <w:pPr>
              <w:pStyle w:val="Prrafodelista"/>
              <w:spacing w:line="256" w:lineRule="auto"/>
              <w:ind w:left="0" w:right="42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2.</w:t>
            </w:r>
            <w:r w:rsidR="009557D1" w:rsidRPr="005B5B53">
              <w:rPr>
                <w:rFonts w:ascii="Arial" w:hAnsi="Arial" w:cs="Arial"/>
              </w:rPr>
              <w:t xml:space="preserve"> </w:t>
            </w:r>
            <w:r w:rsidR="00B74A3D" w:rsidRPr="005B5B53">
              <w:rPr>
                <w:rFonts w:ascii="Arial" w:hAnsi="Arial" w:cs="Arial"/>
              </w:rPr>
              <w:t>Afectación en la consecución de recursos de cooperación.</w:t>
            </w:r>
          </w:p>
          <w:p w:rsidR="00B74A3D" w:rsidRPr="005B5B53" w:rsidRDefault="008F66E3" w:rsidP="009557D1">
            <w:pPr>
              <w:pStyle w:val="Prrafodelista"/>
              <w:spacing w:line="256" w:lineRule="auto"/>
              <w:ind w:left="0" w:right="42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  <w:r w:rsidRPr="005B5B53">
              <w:rPr>
                <w:rFonts w:ascii="Arial" w:hAnsi="Arial" w:cs="Arial"/>
              </w:rPr>
              <w:t>3.</w:t>
            </w:r>
            <w:r w:rsidR="009557D1" w:rsidRPr="005B5B53">
              <w:rPr>
                <w:rFonts w:ascii="Arial" w:hAnsi="Arial" w:cs="Arial"/>
              </w:rPr>
              <w:t xml:space="preserve"> </w:t>
            </w:r>
            <w:r w:rsidR="00B74A3D" w:rsidRPr="005B5B53">
              <w:rPr>
                <w:rFonts w:ascii="Arial" w:hAnsi="Arial" w:cs="Arial"/>
              </w:rPr>
              <w:t>Gestión de alianzas que favorezcan intereses particulares.</w:t>
            </w:r>
          </w:p>
          <w:p w:rsidR="00B74A3D" w:rsidRPr="005B5B53" w:rsidRDefault="00B74A3D" w:rsidP="008F66E3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eastAsia="Times New Roman" w:hAnsi="Arial" w:cs="Arial"/>
                <w:bCs/>
                <w:lang w:eastAsia="es-CO"/>
              </w:rPr>
              <w:t>Se verificó que los controles para los riesgos identificados</w:t>
            </w:r>
            <w:r w:rsidR="008D6BFF">
              <w:rPr>
                <w:rFonts w:ascii="Arial" w:eastAsia="Times New Roman" w:hAnsi="Arial" w:cs="Arial"/>
                <w:bCs/>
                <w:lang w:eastAsia="es-CO"/>
              </w:rPr>
              <w:t>,</w:t>
            </w:r>
            <w:r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</w:t>
            </w:r>
            <w:r w:rsidR="008D6BFF" w:rsidRPr="005B5B53">
              <w:rPr>
                <w:rFonts w:ascii="Arial" w:eastAsia="Times New Roman" w:hAnsi="Arial" w:cs="Arial"/>
                <w:bCs/>
                <w:lang w:eastAsia="es-CO"/>
              </w:rPr>
              <w:t>incluidos en la matriz</w:t>
            </w:r>
            <w:r w:rsidR="008D6BFF">
              <w:rPr>
                <w:rFonts w:ascii="Arial" w:eastAsia="Times New Roman" w:hAnsi="Arial" w:cs="Arial"/>
                <w:bCs/>
                <w:lang w:eastAsia="es-CO"/>
              </w:rPr>
              <w:t>,</w:t>
            </w:r>
            <w:r w:rsidR="008D6BFF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</w:t>
            </w:r>
            <w:r w:rsidRPr="005B5B53">
              <w:rPr>
                <w:rFonts w:ascii="Arial" w:eastAsia="Times New Roman" w:hAnsi="Arial" w:cs="Arial"/>
                <w:bCs/>
                <w:lang w:eastAsia="es-CO"/>
              </w:rPr>
              <w:t>se enc</w:t>
            </w:r>
            <w:r w:rsidR="008F66E3" w:rsidRPr="005B5B53">
              <w:rPr>
                <w:rFonts w:ascii="Arial" w:eastAsia="Times New Roman" w:hAnsi="Arial" w:cs="Arial"/>
                <w:bCs/>
                <w:lang w:eastAsia="es-CO"/>
              </w:rPr>
              <w:t>uentran diseñados adecuadamente; l</w:t>
            </w:r>
            <w:r w:rsidRPr="005B5B53">
              <w:rPr>
                <w:rFonts w:ascii="Arial" w:hAnsi="Arial" w:cs="Arial"/>
              </w:rPr>
              <w:t xml:space="preserve">a Oficina de Cooperación y Asuntos Internacionales </w:t>
            </w:r>
            <w:r w:rsidR="008F66E3" w:rsidRPr="005B5B53">
              <w:rPr>
                <w:rFonts w:ascii="Arial" w:hAnsi="Arial" w:cs="Arial"/>
              </w:rPr>
              <w:t>adelanta de manera periódica</w:t>
            </w:r>
            <w:r w:rsidRPr="005B5B53">
              <w:rPr>
                <w:rFonts w:ascii="Arial" w:hAnsi="Arial" w:cs="Arial"/>
              </w:rPr>
              <w:t xml:space="preserve"> comités donde se realiza monitoreo a las gestiones que se realizan y los acue</w:t>
            </w:r>
            <w:r w:rsidR="008F66E3" w:rsidRPr="005B5B53">
              <w:rPr>
                <w:rFonts w:ascii="Arial" w:hAnsi="Arial" w:cs="Arial"/>
              </w:rPr>
              <w:t>rdos a los que se compromete en desarrollo de su gestión</w:t>
            </w:r>
            <w:r w:rsidRPr="005B5B53">
              <w:rPr>
                <w:rFonts w:ascii="Arial" w:hAnsi="Arial" w:cs="Arial"/>
              </w:rPr>
              <w:t>, además se encarga de la digitalización de toda la información que</w:t>
            </w:r>
            <w:r w:rsidR="008F66E3" w:rsidRPr="005B5B53">
              <w:rPr>
                <w:rFonts w:ascii="Arial" w:hAnsi="Arial" w:cs="Arial"/>
              </w:rPr>
              <w:t xml:space="preserve"> permite documentar </w:t>
            </w:r>
            <w:r w:rsidR="00154D4D" w:rsidRPr="005B5B53">
              <w:rPr>
                <w:rFonts w:ascii="Arial" w:hAnsi="Arial" w:cs="Arial"/>
              </w:rPr>
              <w:t>los procedimientos efectuados.</w:t>
            </w:r>
          </w:p>
          <w:p w:rsidR="00154D4D" w:rsidRPr="005B5B53" w:rsidRDefault="00154D4D" w:rsidP="008F66E3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</w:p>
          <w:p w:rsidR="00B74A3D" w:rsidRPr="005B5B53" w:rsidRDefault="00B74A3D" w:rsidP="009557D1">
            <w:pPr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 xml:space="preserve">La Oficina de Cooperación y Asuntos Internacionales </w:t>
            </w:r>
            <w:r w:rsidR="00377D13" w:rsidRPr="005B5B53">
              <w:rPr>
                <w:rFonts w:ascii="Arial" w:hAnsi="Arial" w:cs="Arial"/>
              </w:rPr>
              <w:t>elaboró</w:t>
            </w:r>
            <w:r w:rsidRPr="005B5B53">
              <w:rPr>
                <w:rFonts w:ascii="Arial" w:hAnsi="Arial" w:cs="Arial"/>
              </w:rPr>
              <w:t xml:space="preserve"> </w:t>
            </w:r>
            <w:r w:rsidR="00154D4D" w:rsidRPr="005B5B53">
              <w:rPr>
                <w:rFonts w:ascii="Arial" w:hAnsi="Arial" w:cs="Arial"/>
              </w:rPr>
              <w:t>en conjunto con l</w:t>
            </w:r>
            <w:r w:rsidRPr="005B5B53">
              <w:rPr>
                <w:rFonts w:ascii="Arial" w:hAnsi="Arial" w:cs="Arial"/>
              </w:rPr>
              <w:t>a</w:t>
            </w:r>
            <w:r w:rsidR="00154D4D" w:rsidRPr="005B5B53">
              <w:rPr>
                <w:rFonts w:ascii="Arial" w:hAnsi="Arial" w:cs="Arial"/>
              </w:rPr>
              <w:t xml:space="preserve"> Subdirección de </w:t>
            </w:r>
            <w:r w:rsidRPr="005B5B53">
              <w:rPr>
                <w:rFonts w:ascii="Arial" w:hAnsi="Arial" w:cs="Arial"/>
              </w:rPr>
              <w:t>Contratación y</w:t>
            </w:r>
            <w:r w:rsidR="00154D4D" w:rsidRPr="005B5B53">
              <w:rPr>
                <w:rFonts w:ascii="Arial" w:hAnsi="Arial" w:cs="Arial"/>
              </w:rPr>
              <w:t xml:space="preserve"> la Oficina Asesora</w:t>
            </w:r>
            <w:r w:rsidRPr="005B5B53">
              <w:rPr>
                <w:rFonts w:ascii="Arial" w:hAnsi="Arial" w:cs="Arial"/>
              </w:rPr>
              <w:t xml:space="preserve"> J</w:t>
            </w:r>
            <w:r w:rsidR="00154D4D" w:rsidRPr="005B5B53">
              <w:rPr>
                <w:rFonts w:ascii="Arial" w:hAnsi="Arial" w:cs="Arial"/>
              </w:rPr>
              <w:t>urídica la Guía de</w:t>
            </w:r>
            <w:r w:rsidRPr="005B5B53">
              <w:rPr>
                <w:rFonts w:ascii="Arial" w:hAnsi="Arial" w:cs="Arial"/>
              </w:rPr>
              <w:t xml:space="preserve"> ruta para la suscripción de alianzas</w:t>
            </w:r>
            <w:r w:rsidR="00154D4D" w:rsidRPr="005B5B53">
              <w:rPr>
                <w:rFonts w:ascii="Arial" w:hAnsi="Arial" w:cs="Arial"/>
              </w:rPr>
              <w:t>, coordinando a su vez</w:t>
            </w:r>
            <w:r w:rsidRPr="005B5B53">
              <w:rPr>
                <w:rFonts w:ascii="Arial" w:hAnsi="Arial" w:cs="Arial"/>
              </w:rPr>
              <w:t xml:space="preserve"> con las áreas técnicas para que la misma garantice la oportunidad, claridad y transparencia del proceso.</w:t>
            </w:r>
            <w:r w:rsidR="009557D1" w:rsidRPr="005B5B53">
              <w:rPr>
                <w:rFonts w:ascii="Arial" w:hAnsi="Arial" w:cs="Arial"/>
              </w:rPr>
              <w:t xml:space="preserve">  </w:t>
            </w:r>
            <w:r w:rsidRPr="005B5B53">
              <w:rPr>
                <w:rFonts w:ascii="Arial" w:hAnsi="Arial" w:cs="Arial"/>
              </w:rPr>
              <w:t xml:space="preserve">Se </w:t>
            </w:r>
            <w:r w:rsidR="00154D4D" w:rsidRPr="005B5B53">
              <w:rPr>
                <w:rFonts w:ascii="Arial" w:hAnsi="Arial" w:cs="Arial"/>
              </w:rPr>
              <w:t>verificó la actualización d</w:t>
            </w:r>
            <w:r w:rsidR="00257D82">
              <w:rPr>
                <w:rFonts w:ascii="Arial" w:hAnsi="Arial" w:cs="Arial"/>
              </w:rPr>
              <w:t>el mapa de a</w:t>
            </w:r>
            <w:r w:rsidRPr="005B5B53">
              <w:rPr>
                <w:rFonts w:ascii="Arial" w:hAnsi="Arial" w:cs="Arial"/>
              </w:rPr>
              <w:t>ctores el cual permite identificar las oportunidades de generar alianzas.</w:t>
            </w:r>
          </w:p>
          <w:p w:rsidR="005339E9" w:rsidRPr="005B5B53" w:rsidRDefault="005339E9" w:rsidP="009557D1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3968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31" w:rsidRPr="005B5B53" w:rsidRDefault="003870E7" w:rsidP="007C4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PLANES, PROGRAMAS Y PROYECTOS E INDICADORES:</w:t>
            </w:r>
            <w:r w:rsidR="00107BA7"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</w:t>
            </w:r>
          </w:p>
          <w:p w:rsidR="00B74A3D" w:rsidRPr="005B5B53" w:rsidRDefault="00B74A3D" w:rsidP="00B74A3D">
            <w:pPr>
              <w:spacing w:after="0" w:line="240" w:lineRule="auto"/>
              <w:ind w:left="-605" w:right="42" w:firstLine="605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</w:p>
          <w:p w:rsidR="00B74A3D" w:rsidRPr="005B5B53" w:rsidRDefault="00B74A3D" w:rsidP="00B74A3D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lang w:eastAsia="es-CO"/>
              </w:rPr>
              <w:t>Se verificaron los indicadores establecido</w:t>
            </w:r>
            <w:r w:rsidR="00CC56B0" w:rsidRPr="005B5B53">
              <w:rPr>
                <w:rFonts w:ascii="Arial" w:eastAsia="Times New Roman" w:hAnsi="Arial" w:cs="Arial"/>
                <w:bCs/>
                <w:lang w:eastAsia="es-CO"/>
              </w:rPr>
              <w:t>s y el seguimiento</w:t>
            </w:r>
            <w:r w:rsidR="00DE762B">
              <w:rPr>
                <w:rFonts w:ascii="Arial" w:eastAsia="Times New Roman" w:hAnsi="Arial" w:cs="Arial"/>
                <w:bCs/>
                <w:lang w:eastAsia="es-CO"/>
              </w:rPr>
              <w:t xml:space="preserve"> oportuno</w:t>
            </w:r>
            <w:r w:rsidR="00CC56B0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a los mismos</w:t>
            </w:r>
            <w:r w:rsidR="00DE762B"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  <w:p w:rsidR="004560C7" w:rsidRPr="005B5B53" w:rsidRDefault="004560C7" w:rsidP="00214EA6">
            <w:pPr>
              <w:spacing w:after="0" w:line="240" w:lineRule="auto"/>
              <w:ind w:right="1432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4560C7" w:rsidRPr="005B5B53" w:rsidRDefault="00BF6172" w:rsidP="001514DA">
            <w:pPr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La Oficina de Cooperación Internacional adelantó reuniones</w:t>
            </w:r>
            <w:r w:rsidR="004560C7" w:rsidRPr="005B5B53">
              <w:rPr>
                <w:rFonts w:ascii="Arial" w:hAnsi="Arial" w:cs="Arial"/>
              </w:rPr>
              <w:t xml:space="preserve"> para gestión de alianzas con veinticinco (25) aliados</w:t>
            </w:r>
            <w:r w:rsidRPr="005B5B53">
              <w:rPr>
                <w:rFonts w:ascii="Arial" w:hAnsi="Arial" w:cs="Arial"/>
              </w:rPr>
              <w:t xml:space="preserve">, estos son: </w:t>
            </w:r>
            <w:r w:rsidR="004560C7" w:rsidRPr="005B5B53">
              <w:rPr>
                <w:rFonts w:ascii="Arial" w:hAnsi="Arial" w:cs="Arial"/>
              </w:rPr>
              <w:t xml:space="preserve">Unicef, SEPIE (Servicio Español para la Internacionalización de la E.S.), Finlandia, ANDI, </w:t>
            </w:r>
            <w:proofErr w:type="spellStart"/>
            <w:r w:rsidR="004560C7" w:rsidRPr="005B5B53">
              <w:rPr>
                <w:rFonts w:ascii="Arial" w:hAnsi="Arial" w:cs="Arial"/>
              </w:rPr>
              <w:t>Procolombia</w:t>
            </w:r>
            <w:proofErr w:type="spellEnd"/>
            <w:r w:rsidR="004560C7" w:rsidRPr="005B5B53">
              <w:rPr>
                <w:rFonts w:ascii="Arial" w:hAnsi="Arial" w:cs="Arial"/>
              </w:rPr>
              <w:t>, Terpel, Ecopetrol, PNLE, BBVA, Dividendo por Colombia, F</w:t>
            </w:r>
            <w:r w:rsidR="00FA040F">
              <w:rPr>
                <w:rFonts w:ascii="Arial" w:hAnsi="Arial" w:cs="Arial"/>
              </w:rPr>
              <w:t>u</w:t>
            </w:r>
            <w:r w:rsidR="004560C7" w:rsidRPr="005B5B53">
              <w:rPr>
                <w:rFonts w:ascii="Arial" w:hAnsi="Arial" w:cs="Arial"/>
              </w:rPr>
              <w:t xml:space="preserve">ndalectura, QS Latinoamérica, Nutresa, </w:t>
            </w:r>
            <w:proofErr w:type="spellStart"/>
            <w:r w:rsidR="004560C7" w:rsidRPr="005B5B53">
              <w:rPr>
                <w:rFonts w:ascii="Arial" w:hAnsi="Arial" w:cs="Arial"/>
              </w:rPr>
              <w:t>Lumos</w:t>
            </w:r>
            <w:proofErr w:type="spellEnd"/>
            <w:r w:rsidR="004560C7" w:rsidRPr="005B5B53">
              <w:rPr>
                <w:rFonts w:ascii="Arial" w:hAnsi="Arial" w:cs="Arial"/>
              </w:rPr>
              <w:t xml:space="preserve">, Universidad del Norte, </w:t>
            </w:r>
            <w:proofErr w:type="spellStart"/>
            <w:r w:rsidR="004560C7" w:rsidRPr="005B5B53">
              <w:rPr>
                <w:rFonts w:ascii="Arial" w:hAnsi="Arial" w:cs="Arial"/>
              </w:rPr>
              <w:t>War</w:t>
            </w:r>
            <w:proofErr w:type="spellEnd"/>
            <w:r w:rsidR="004560C7" w:rsidRPr="005B5B53">
              <w:rPr>
                <w:rFonts w:ascii="Arial" w:hAnsi="Arial" w:cs="Arial"/>
              </w:rPr>
              <w:t xml:space="preserve"> Child, Opción Legal, Embajada de Canadá, </w:t>
            </w:r>
            <w:proofErr w:type="spellStart"/>
            <w:r w:rsidR="004560C7" w:rsidRPr="005B5B53">
              <w:rPr>
                <w:rFonts w:ascii="Arial" w:hAnsi="Arial" w:cs="Arial"/>
              </w:rPr>
              <w:t>Mercy</w:t>
            </w:r>
            <w:proofErr w:type="spellEnd"/>
            <w:r w:rsidR="004560C7" w:rsidRPr="005B5B53">
              <w:rPr>
                <w:rFonts w:ascii="Arial" w:hAnsi="Arial" w:cs="Arial"/>
              </w:rPr>
              <w:t xml:space="preserve"> Corps, Embajada del Reino Unido, </w:t>
            </w:r>
            <w:proofErr w:type="spellStart"/>
            <w:r w:rsidR="004560C7" w:rsidRPr="005B5B53">
              <w:rPr>
                <w:rFonts w:ascii="Arial" w:hAnsi="Arial" w:cs="Arial"/>
              </w:rPr>
              <w:t>Twig</w:t>
            </w:r>
            <w:proofErr w:type="spellEnd"/>
            <w:r w:rsidR="004560C7" w:rsidRPr="005B5B53">
              <w:rPr>
                <w:rFonts w:ascii="Arial" w:hAnsi="Arial" w:cs="Arial"/>
              </w:rPr>
              <w:t xml:space="preserve"> </w:t>
            </w:r>
            <w:proofErr w:type="spellStart"/>
            <w:r w:rsidR="004560C7" w:rsidRPr="005B5B53">
              <w:rPr>
                <w:rFonts w:ascii="Arial" w:hAnsi="Arial" w:cs="Arial"/>
              </w:rPr>
              <w:t>Education</w:t>
            </w:r>
            <w:proofErr w:type="spellEnd"/>
            <w:r w:rsidR="004560C7" w:rsidRPr="005B5B53">
              <w:rPr>
                <w:rFonts w:ascii="Arial" w:hAnsi="Arial" w:cs="Arial"/>
              </w:rPr>
              <w:t xml:space="preserve">, Empresarios por la Educación, Fundación Pies </w:t>
            </w:r>
            <w:r w:rsidR="00D92AC8" w:rsidRPr="005B5B53">
              <w:rPr>
                <w:rFonts w:ascii="Arial" w:hAnsi="Arial" w:cs="Arial"/>
              </w:rPr>
              <w:t>Descalzos</w:t>
            </w:r>
            <w:r w:rsidR="004560C7" w:rsidRPr="005B5B53">
              <w:rPr>
                <w:rFonts w:ascii="Arial" w:hAnsi="Arial" w:cs="Arial"/>
              </w:rPr>
              <w:t>, Corporación Manos Visibles y Unilever.</w:t>
            </w:r>
          </w:p>
          <w:p w:rsidR="004560C7" w:rsidRPr="005B5B53" w:rsidRDefault="004560C7" w:rsidP="00214EA6">
            <w:pPr>
              <w:spacing w:after="0" w:line="240" w:lineRule="auto"/>
              <w:ind w:right="1432"/>
              <w:jc w:val="both"/>
              <w:rPr>
                <w:rFonts w:ascii="Arial" w:hAnsi="Arial" w:cs="Arial"/>
              </w:rPr>
            </w:pPr>
          </w:p>
          <w:p w:rsidR="009557D1" w:rsidRPr="005B5B53" w:rsidRDefault="009557D1" w:rsidP="00BF6172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hAnsi="Arial" w:cs="Arial"/>
              </w:rPr>
              <w:t>Con corte a</w:t>
            </w:r>
            <w:r w:rsidR="004560C7" w:rsidRPr="005B5B53">
              <w:rPr>
                <w:rFonts w:ascii="Arial" w:hAnsi="Arial" w:cs="Arial"/>
              </w:rPr>
              <w:t xml:space="preserve"> </w:t>
            </w:r>
            <w:r w:rsidRPr="005B5B53">
              <w:rPr>
                <w:rFonts w:ascii="Arial" w:hAnsi="Arial" w:cs="Arial"/>
              </w:rPr>
              <w:t xml:space="preserve">31 </w:t>
            </w:r>
            <w:r w:rsidR="004560C7" w:rsidRPr="005B5B53">
              <w:rPr>
                <w:rFonts w:ascii="Arial" w:hAnsi="Arial" w:cs="Arial"/>
              </w:rPr>
              <w:t>de octubre</w:t>
            </w:r>
            <w:r w:rsidRPr="005B5B53">
              <w:rPr>
                <w:rFonts w:ascii="Arial" w:hAnsi="Arial" w:cs="Arial"/>
              </w:rPr>
              <w:t xml:space="preserve"> de 2018 se gestionó</w:t>
            </w:r>
            <w:r w:rsidR="004560C7" w:rsidRPr="005B5B53">
              <w:rPr>
                <w:rFonts w:ascii="Arial" w:hAnsi="Arial" w:cs="Arial"/>
              </w:rPr>
              <w:t xml:space="preserve"> un total de $17.51</w:t>
            </w:r>
            <w:r w:rsidRPr="005B5B53">
              <w:rPr>
                <w:rFonts w:ascii="Arial" w:hAnsi="Arial" w:cs="Arial"/>
              </w:rPr>
              <w:t xml:space="preserve">1.075.892 que sobrepasa la </w:t>
            </w:r>
            <w:r w:rsidR="00257D82" w:rsidRPr="005B5B53">
              <w:rPr>
                <w:rFonts w:ascii="Arial" w:hAnsi="Arial" w:cs="Arial"/>
              </w:rPr>
              <w:t>meta propuesta</w:t>
            </w:r>
            <w:r w:rsidR="004560C7" w:rsidRPr="005B5B53">
              <w:rPr>
                <w:rFonts w:ascii="Arial" w:hAnsi="Arial" w:cs="Arial"/>
              </w:rPr>
              <w:t xml:space="preserve"> para la vigencia 2018</w:t>
            </w:r>
            <w:r w:rsidR="00BF6172" w:rsidRPr="005B5B53">
              <w:rPr>
                <w:rFonts w:ascii="Arial" w:hAnsi="Arial" w:cs="Arial"/>
              </w:rPr>
              <w:t xml:space="preserve">; </w:t>
            </w:r>
            <w:r w:rsidR="00EC00B8" w:rsidRPr="00352992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Las metas</w:t>
            </w:r>
            <w:r w:rsidR="00377D13" w:rsidRPr="00352992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fueron </w:t>
            </w:r>
            <w:r w:rsidR="00352992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subestimadas</w:t>
            </w:r>
            <w:r w:rsidR="00377D13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, de tal forma</w:t>
            </w:r>
            <w:r w:rsidR="00EC00B8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qu</w:t>
            </w:r>
            <w:r w:rsidR="00377D13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e en muchos casos se cumplieron en</w:t>
            </w:r>
            <w:r w:rsidR="00EC00B8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más del 100</w:t>
            </w:r>
            <w:r w:rsidR="00214EA6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%.</w:t>
            </w:r>
          </w:p>
          <w:p w:rsidR="00CC56B0" w:rsidRPr="005B5B53" w:rsidRDefault="00CC56B0" w:rsidP="00CC56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CC56B0" w:rsidRPr="005B5B53" w:rsidRDefault="00CC56B0" w:rsidP="00CC5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MECANISMOS DE SEGUIMIENTO Y AUTOEVALUACIÓN</w:t>
            </w:r>
          </w:p>
          <w:p w:rsidR="00CC56B0" w:rsidRPr="005B5B53" w:rsidRDefault="00CC56B0" w:rsidP="00CC5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CC56B0" w:rsidRPr="005B5B53" w:rsidRDefault="00CC56B0" w:rsidP="00CC56B0">
            <w:pPr>
              <w:spacing w:after="0" w:line="240" w:lineRule="auto"/>
              <w:ind w:left="-70" w:right="42"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  <w:r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Se evidenció que la </w:t>
            </w:r>
            <w:r w:rsidR="00257D82" w:rsidRPr="005B5B53">
              <w:rPr>
                <w:rFonts w:ascii="Arial" w:hAnsi="Arial" w:cs="Arial"/>
              </w:rPr>
              <w:t>Oficina de Cooperación y Asuntos Internacionales</w:t>
            </w:r>
            <w:r w:rsidR="00257D82">
              <w:rPr>
                <w:rFonts w:ascii="Arial" w:eastAsia="Times New Roman" w:hAnsi="Arial" w:cs="Arial"/>
                <w:bCs/>
                <w:lang w:eastAsia="es-CO"/>
              </w:rPr>
              <w:t xml:space="preserve">, </w:t>
            </w:r>
            <w:r w:rsidRPr="005B5B53">
              <w:rPr>
                <w:rFonts w:ascii="Arial" w:eastAsia="Times New Roman" w:hAnsi="Arial" w:cs="Arial"/>
                <w:bCs/>
                <w:lang w:eastAsia="es-CO"/>
              </w:rPr>
              <w:t>realiza seguimiento con periodicidad mensual al avance de las metas del Plan de Acción Instit</w:t>
            </w:r>
            <w:r w:rsidR="00377D13"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ucional. Así mismo, </w:t>
            </w:r>
            <w:r w:rsidR="00BA7FF9">
              <w:rPr>
                <w:rFonts w:ascii="Arial" w:eastAsia="Times New Roman" w:hAnsi="Arial" w:cs="Arial"/>
                <w:bCs/>
                <w:lang w:eastAsia="es-CO"/>
              </w:rPr>
              <w:t>adelanta</w:t>
            </w:r>
            <w:r w:rsidRPr="005B5B53">
              <w:rPr>
                <w:rFonts w:ascii="Arial" w:eastAsia="Times New Roman" w:hAnsi="Arial" w:cs="Arial"/>
                <w:bCs/>
                <w:lang w:eastAsia="es-CO"/>
              </w:rPr>
              <w:t xml:space="preserve"> reuniones periódicas de seguimiento y evaluación sobre el cumplimiento de los compromisos adquiridos.</w:t>
            </w:r>
          </w:p>
          <w:p w:rsidR="00CC56B0" w:rsidRPr="005B5B53" w:rsidRDefault="00CC56B0" w:rsidP="00CC56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  <w:lang w:eastAsia="es-CO"/>
              </w:rPr>
            </w:pPr>
          </w:p>
          <w:p w:rsidR="00CC56B0" w:rsidRPr="005B5B53" w:rsidRDefault="00BA7FF9" w:rsidP="00CC5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llevaron a cabo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reuniones </w:t>
            </w:r>
            <w:r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con los aliados</w:t>
            </w:r>
            <w:r w:rsidR="00D92AC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con periodicidad bimestral,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donde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se genera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compromisos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,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los cuales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se monitorean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mediante reuniones internas del grupo de trabajo y se realiza seguimiento a los avances, además </w:t>
            </w:r>
            <w:r w:rsidR="00D92AC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se </w:t>
            </w:r>
            <w:r w:rsidR="00CC56B0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cuenta con un </w:t>
            </w:r>
            <w:r w:rsidR="00CC56B0" w:rsidRPr="005B5B53">
              <w:rPr>
                <w:rFonts w:ascii="Arial" w:hAnsi="Arial" w:cs="Arial"/>
              </w:rPr>
              <w:t>SharePoint donde se generan las alertas de los tiempos y repositorio de información.</w:t>
            </w:r>
          </w:p>
          <w:p w:rsidR="00CC56B0" w:rsidRPr="005B5B53" w:rsidRDefault="00CC56B0" w:rsidP="00CC56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2B1BC1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C1" w:rsidRPr="005B5B53" w:rsidRDefault="002B1BC1" w:rsidP="007C4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2B1BC1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BC1" w:rsidRPr="005B5B53" w:rsidRDefault="002B1BC1" w:rsidP="007C4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F24AF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4AF" w:rsidRPr="005B5B53" w:rsidRDefault="003F24AF" w:rsidP="007C4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E0" w:rsidRPr="005B5B53" w:rsidRDefault="003870E7" w:rsidP="005A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FORTALEZAS</w:t>
            </w:r>
          </w:p>
          <w:p w:rsidR="00CC56B0" w:rsidRPr="005B5B53" w:rsidRDefault="00CC56B0" w:rsidP="005A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5B5B53" w:rsidRPr="005B5B53" w:rsidRDefault="00BA7FF9" w:rsidP="005B5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evidenció</w:t>
            </w:r>
            <w:r w:rsidR="00107556" w:rsidRPr="005B5B53">
              <w:rPr>
                <w:rFonts w:ascii="Arial" w:hAnsi="Arial" w:cs="Arial"/>
              </w:rPr>
              <w:t xml:space="preserve"> el trabajo realizado con la inclusión del SharePoint donde reposan los documentos importantes de la oficina</w:t>
            </w:r>
            <w:r w:rsidR="00D92AC8">
              <w:rPr>
                <w:rFonts w:ascii="Arial" w:hAnsi="Arial" w:cs="Arial"/>
              </w:rPr>
              <w:t>,</w:t>
            </w:r>
            <w:r w:rsidR="00107556" w:rsidRPr="005B5B53">
              <w:rPr>
                <w:rFonts w:ascii="Arial" w:hAnsi="Arial" w:cs="Arial"/>
              </w:rPr>
              <w:t xml:space="preserve"> el cual sirve como repositorio y hoja </w:t>
            </w:r>
            <w:r>
              <w:rPr>
                <w:rFonts w:ascii="Arial" w:hAnsi="Arial" w:cs="Arial"/>
              </w:rPr>
              <w:t xml:space="preserve">de </w:t>
            </w:r>
            <w:r w:rsidR="00D92AC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uta para las labores de la d</w:t>
            </w:r>
            <w:r w:rsidR="00107556" w:rsidRPr="005B5B53">
              <w:rPr>
                <w:rFonts w:ascii="Arial" w:hAnsi="Arial" w:cs="Arial"/>
              </w:rPr>
              <w:t>ependencia</w:t>
            </w:r>
            <w:r w:rsidR="005B5B53" w:rsidRPr="005B5B53">
              <w:rPr>
                <w:rFonts w:ascii="Arial" w:hAnsi="Arial" w:cs="Arial"/>
              </w:rPr>
              <w:t>; este aplicativo permite almacenar, organizar y compartir la documentación generada por el área, a los usuarios se les asignan permisos de lectura y escritura para poder modificar o editar la información.</w:t>
            </w:r>
          </w:p>
          <w:p w:rsidR="00F91BE2" w:rsidRPr="005B5B53" w:rsidRDefault="00F91BE2" w:rsidP="00BF6172">
            <w:pPr>
              <w:spacing w:after="0" w:line="240" w:lineRule="auto"/>
              <w:ind w:right="278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Se verificó la elaboración de la guía para la suscripción de alianzas del MEN,</w:t>
            </w:r>
            <w:r w:rsidR="0068621B" w:rsidRPr="005B5B53">
              <w:rPr>
                <w:rFonts w:ascii="Arial" w:hAnsi="Arial" w:cs="Arial"/>
              </w:rPr>
              <w:t xml:space="preserve"> </w:t>
            </w:r>
            <w:r w:rsidRPr="005B5B53">
              <w:rPr>
                <w:rFonts w:ascii="Arial" w:hAnsi="Arial" w:cs="Arial"/>
              </w:rPr>
              <w:t xml:space="preserve">con la colaboración de la Subdirección de Contratación y la Oficina Asesora Jurídica, estableciendo las etapas y tiempos </w:t>
            </w:r>
            <w:r w:rsidR="00BA7FF9" w:rsidRPr="005B5B53">
              <w:rPr>
                <w:rFonts w:ascii="Arial" w:hAnsi="Arial" w:cs="Arial"/>
              </w:rPr>
              <w:t>de coordinación</w:t>
            </w:r>
            <w:r w:rsidRPr="005B5B53">
              <w:rPr>
                <w:rFonts w:ascii="Arial" w:hAnsi="Arial" w:cs="Arial"/>
              </w:rPr>
              <w:t xml:space="preserve"> con las áreas técnicas para la identificación de las necesidades de cooperación.</w:t>
            </w:r>
          </w:p>
          <w:p w:rsidR="00BF6172" w:rsidRPr="005B5B53" w:rsidRDefault="00BF6172" w:rsidP="00BF6172">
            <w:pPr>
              <w:spacing w:after="0" w:line="240" w:lineRule="auto"/>
              <w:ind w:right="278"/>
              <w:jc w:val="both"/>
              <w:rPr>
                <w:rFonts w:ascii="Arial" w:hAnsi="Arial" w:cs="Arial"/>
              </w:rPr>
            </w:pPr>
          </w:p>
          <w:p w:rsidR="00107556" w:rsidRPr="005B5B53" w:rsidRDefault="00107556" w:rsidP="00C7163A">
            <w:pPr>
              <w:ind w:right="1432"/>
              <w:jc w:val="both"/>
              <w:rPr>
                <w:rFonts w:ascii="Arial" w:hAnsi="Arial" w:cs="Arial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E0" w:rsidRPr="005B5B53" w:rsidRDefault="001C7334" w:rsidP="00CC56B0">
            <w:pPr>
              <w:ind w:left="351" w:right="708" w:hanging="35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CONCLUSIONES</w:t>
            </w:r>
          </w:p>
          <w:p w:rsidR="00A126DE" w:rsidRPr="005B5B53" w:rsidRDefault="001514DA" w:rsidP="005B5B5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hAnsi="Arial" w:cs="Arial"/>
              </w:rPr>
              <w:t xml:space="preserve">El proceso </w:t>
            </w:r>
            <w:r w:rsidR="00A126DE" w:rsidRPr="005B5B53">
              <w:rPr>
                <w:rFonts w:ascii="Arial" w:hAnsi="Arial" w:cs="Arial"/>
              </w:rPr>
              <w:t>“Gesti</w:t>
            </w:r>
            <w:r w:rsidR="00D92AC8">
              <w:rPr>
                <w:rFonts w:ascii="Arial" w:hAnsi="Arial" w:cs="Arial"/>
              </w:rPr>
              <w:t>ó</w:t>
            </w:r>
            <w:r w:rsidR="00A126DE" w:rsidRPr="005B5B53">
              <w:rPr>
                <w:rFonts w:ascii="Arial" w:hAnsi="Arial" w:cs="Arial"/>
              </w:rPr>
              <w:t>n</w:t>
            </w:r>
            <w:r w:rsidR="00D92AC8">
              <w:rPr>
                <w:rFonts w:ascii="Arial" w:hAnsi="Arial" w:cs="Arial"/>
              </w:rPr>
              <w:t xml:space="preserve"> de</w:t>
            </w:r>
            <w:r w:rsidR="00A126DE" w:rsidRPr="005B5B53">
              <w:rPr>
                <w:rFonts w:ascii="Arial" w:hAnsi="Arial" w:cs="Arial"/>
              </w:rPr>
              <w:t xml:space="preserve"> Alianzas”, </w:t>
            </w:r>
            <w:r w:rsidRPr="005B5B53">
              <w:rPr>
                <w:rFonts w:ascii="Arial" w:hAnsi="Arial" w:cs="Arial"/>
              </w:rPr>
              <w:t>cumple con los objetivos misionales a su cargo</w:t>
            </w:r>
            <w:r w:rsidR="00A126DE" w:rsidRPr="005B5B53">
              <w:rPr>
                <w:rFonts w:ascii="Arial" w:hAnsi="Arial" w:cs="Arial"/>
              </w:rPr>
              <w:t>.</w:t>
            </w:r>
          </w:p>
          <w:p w:rsidR="00352992" w:rsidRDefault="00A126DE" w:rsidP="0035299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708"/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>Se observó que los convenios suscritos por el Ministerio de Educación Nacional, para cooperación Internacional, están acorde con la normatividad vigente y atienden a los objetivos propuestos.</w:t>
            </w:r>
          </w:p>
          <w:p w:rsidR="00352992" w:rsidRPr="00352992" w:rsidRDefault="00352992" w:rsidP="0035299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708"/>
              <w:jc w:val="both"/>
              <w:rPr>
                <w:rFonts w:ascii="Arial" w:hAnsi="Arial" w:cs="Arial"/>
              </w:rPr>
            </w:pPr>
            <w:r w:rsidRPr="00352992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Las metas fueron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estimadas en valores inferiores a</w:t>
            </w:r>
            <w:r w:rsidR="00D92AC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l</w:t>
            </w:r>
            <w:r w:rsidR="00D92AC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os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que se logr</w:t>
            </w:r>
            <w:r w:rsidR="00D92AC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aron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,</w:t>
            </w:r>
            <w:r w:rsidRPr="00352992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de tal forma que en muchos casos </w:t>
            </w: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superaron el</w:t>
            </w:r>
            <w:r w:rsidRPr="00352992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100%.</w:t>
            </w:r>
          </w:p>
          <w:p w:rsidR="001514DA" w:rsidRPr="005B5B53" w:rsidRDefault="001514DA" w:rsidP="005D38C4">
            <w:pPr>
              <w:pStyle w:val="Prrafodelista"/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C3" w:rsidRPr="005B5B53" w:rsidRDefault="003870E7" w:rsidP="005A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5B5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RECOMENDACIONES:</w:t>
            </w:r>
          </w:p>
          <w:p w:rsidR="003E11B4" w:rsidRPr="005B5B53" w:rsidRDefault="003E11B4" w:rsidP="005A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9B0069" w:rsidRPr="005B5B53" w:rsidRDefault="00C7163A" w:rsidP="005B5B5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5B5B53">
              <w:rPr>
                <w:rFonts w:ascii="Arial" w:hAnsi="Arial" w:cs="Arial"/>
              </w:rPr>
              <w:t xml:space="preserve">Se recomienda ajustar las metas del </w:t>
            </w:r>
            <w:r w:rsidR="00352992">
              <w:rPr>
                <w:rFonts w:ascii="Arial" w:hAnsi="Arial" w:cs="Arial"/>
              </w:rPr>
              <w:t>P</w:t>
            </w:r>
            <w:r w:rsidR="00A126DE" w:rsidRPr="005B5B53">
              <w:rPr>
                <w:rFonts w:ascii="Arial" w:hAnsi="Arial" w:cs="Arial"/>
              </w:rPr>
              <w:t>lan</w:t>
            </w:r>
            <w:r w:rsidR="00352992">
              <w:rPr>
                <w:rFonts w:ascii="Arial" w:hAnsi="Arial" w:cs="Arial"/>
              </w:rPr>
              <w:t xml:space="preserve"> de A</w:t>
            </w:r>
            <w:r w:rsidRPr="005B5B53">
              <w:rPr>
                <w:rFonts w:ascii="Arial" w:hAnsi="Arial" w:cs="Arial"/>
              </w:rPr>
              <w:t xml:space="preserve">cción </w:t>
            </w:r>
            <w:r w:rsidR="009B0069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acorde a las capacidades de la </w:t>
            </w:r>
            <w:r w:rsidR="00352992" w:rsidRPr="005B5B53">
              <w:rPr>
                <w:rFonts w:ascii="Arial" w:hAnsi="Arial" w:cs="Arial"/>
              </w:rPr>
              <w:t>Oficina de Cooperación y Asuntos Internacionales</w:t>
            </w:r>
            <w:r w:rsidR="005D38C4" w:rsidRPr="005B5B5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, con el fin de que no se presente sobre ejecución en estas.</w:t>
            </w:r>
          </w:p>
          <w:p w:rsidR="005B5B53" w:rsidRPr="005B5B53" w:rsidRDefault="005B5B53" w:rsidP="005B5B53">
            <w:pPr>
              <w:jc w:val="both"/>
              <w:rPr>
                <w:rFonts w:ascii="Arial" w:hAnsi="Arial" w:cs="Arial"/>
              </w:rPr>
            </w:pPr>
          </w:p>
          <w:p w:rsidR="005B5B53" w:rsidRPr="005B5B53" w:rsidRDefault="005B5B53" w:rsidP="005B5B5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5B5B53">
              <w:rPr>
                <w:rFonts w:ascii="Arial" w:hAnsi="Arial" w:cs="Arial"/>
              </w:rPr>
              <w:t xml:space="preserve">Continuar con la administración del aplicativo SharePoint, teniendo en cuenta lo establecido en el </w:t>
            </w:r>
            <w:r w:rsidRPr="005B5B53">
              <w:rPr>
                <w:rFonts w:ascii="Arial" w:hAnsi="Arial" w:cs="Arial"/>
                <w:b/>
              </w:rPr>
              <w:t xml:space="preserve">Manual de Políticas Seguridad de la Información numeral 1.3.10 </w:t>
            </w:r>
            <w:r w:rsidRPr="005B5B53">
              <w:rPr>
                <w:rFonts w:ascii="Arial" w:hAnsi="Arial" w:cs="Arial"/>
              </w:rPr>
              <w:t>Política de Gestión de Almacenamiento, para mitigar el riesgo de pérdida de información y proteger la confidencialidad, integridad y disponibilidad de esta.</w:t>
            </w:r>
          </w:p>
          <w:p w:rsidR="005B5B53" w:rsidRPr="005B5B53" w:rsidRDefault="005B5B53" w:rsidP="005A4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8F66E3" w:rsidRPr="005B5B53" w:rsidRDefault="008F66E3" w:rsidP="005A4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8F66E3" w:rsidRPr="005B5B53" w:rsidRDefault="008F66E3" w:rsidP="005A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450"/>
        </w:trPr>
        <w:tc>
          <w:tcPr>
            <w:tcW w:w="10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E7" w:rsidRPr="005B5B53" w:rsidRDefault="003870E7" w:rsidP="00387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870E7" w:rsidRPr="005B5B53" w:rsidTr="00BF6172">
        <w:trPr>
          <w:gridAfter w:val="8"/>
          <w:wAfter w:w="5855" w:type="dxa"/>
          <w:trHeight w:val="300"/>
        </w:trPr>
        <w:tc>
          <w:tcPr>
            <w:tcW w:w="102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B6" w:rsidRPr="005B5B53" w:rsidRDefault="00D16CB6" w:rsidP="00BA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tbl>
            <w:tblPr>
              <w:tblW w:w="101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DC1E36" w:rsidRPr="005B5B53" w:rsidTr="00DC1E36">
              <w:trPr>
                <w:trHeight w:val="266"/>
              </w:trPr>
              <w:tc>
                <w:tcPr>
                  <w:tcW w:w="10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E36" w:rsidRPr="005B5B53" w:rsidRDefault="00DC1E36" w:rsidP="006E770E">
                  <w:pPr>
                    <w:spacing w:after="0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5B5B5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 xml:space="preserve">LÍDER DEL EQUIPO AUDITOR: </w:t>
                  </w:r>
                  <w:r w:rsidRPr="005B5B53">
                    <w:rPr>
                      <w:rFonts w:ascii="Arial" w:eastAsia="Times New Roman" w:hAnsi="Arial" w:cs="Arial"/>
                      <w:lang w:eastAsia="es-CO"/>
                    </w:rPr>
                    <w:t>Jessica Paola Ortiz M</w:t>
                  </w:r>
                  <w:r w:rsidR="00D92AC8">
                    <w:rPr>
                      <w:rFonts w:ascii="Arial" w:eastAsia="Times New Roman" w:hAnsi="Arial" w:cs="Arial"/>
                      <w:lang w:eastAsia="es-CO"/>
                    </w:rPr>
                    <w:t>é</w:t>
                  </w:r>
                  <w:r w:rsidRPr="005B5B53">
                    <w:rPr>
                      <w:rFonts w:ascii="Arial" w:eastAsia="Times New Roman" w:hAnsi="Arial" w:cs="Arial"/>
                      <w:lang w:eastAsia="es-CO"/>
                    </w:rPr>
                    <w:t xml:space="preserve">ndez </w:t>
                  </w:r>
                </w:p>
              </w:tc>
            </w:tr>
            <w:tr w:rsidR="00DC1E36" w:rsidRPr="005B5B53" w:rsidTr="00DC1E36">
              <w:trPr>
                <w:trHeight w:val="230"/>
              </w:trPr>
              <w:tc>
                <w:tcPr>
                  <w:tcW w:w="10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E36" w:rsidRPr="005B5B53" w:rsidRDefault="00DC1E36" w:rsidP="006E770E">
                  <w:pPr>
                    <w:spacing w:after="0" w:line="240" w:lineRule="auto"/>
                    <w:ind w:right="274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5B5B5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 xml:space="preserve">JEFE DE CONTROL INTERNO: </w:t>
                  </w:r>
                  <w:r w:rsidRPr="005B5B53">
                    <w:rPr>
                      <w:rFonts w:ascii="Arial" w:eastAsia="Times New Roman" w:hAnsi="Arial" w:cs="Arial"/>
                      <w:bCs/>
                      <w:color w:val="000000"/>
                      <w:lang w:eastAsia="es-CO"/>
                    </w:rPr>
                    <w:t>María Helena Ord</w:t>
                  </w:r>
                  <w:r w:rsidR="00D92AC8">
                    <w:rPr>
                      <w:rFonts w:ascii="Arial" w:eastAsia="Times New Roman" w:hAnsi="Arial" w:cs="Arial"/>
                      <w:bCs/>
                      <w:color w:val="000000"/>
                      <w:lang w:eastAsia="es-CO"/>
                    </w:rPr>
                    <w:t>ó</w:t>
                  </w:r>
                  <w:r w:rsidRPr="005B5B53">
                    <w:rPr>
                      <w:rFonts w:ascii="Arial" w:eastAsia="Times New Roman" w:hAnsi="Arial" w:cs="Arial"/>
                      <w:bCs/>
                      <w:color w:val="000000"/>
                      <w:lang w:eastAsia="es-CO"/>
                    </w:rPr>
                    <w:t>ñez Burbano</w:t>
                  </w:r>
                </w:p>
              </w:tc>
            </w:tr>
          </w:tbl>
          <w:p w:rsidR="00214EA6" w:rsidRPr="005B5B53" w:rsidRDefault="00214EA6" w:rsidP="00BA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3870E7" w:rsidRPr="005B5B53" w:rsidRDefault="003870E7">
      <w:pPr>
        <w:rPr>
          <w:rFonts w:ascii="Arial" w:hAnsi="Arial" w:cs="Arial"/>
        </w:rPr>
      </w:pPr>
    </w:p>
    <w:sectPr w:rsidR="003870E7" w:rsidRPr="005B5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zidenz Grotesk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715"/>
    <w:multiLevelType w:val="hybridMultilevel"/>
    <w:tmpl w:val="1730E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4C1"/>
    <w:multiLevelType w:val="hybridMultilevel"/>
    <w:tmpl w:val="3D42693C"/>
    <w:lvl w:ilvl="0" w:tplc="24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7" w:hanging="360"/>
      </w:pPr>
    </w:lvl>
    <w:lvl w:ilvl="2" w:tplc="240A001B" w:tentative="1">
      <w:start w:val="1"/>
      <w:numFmt w:val="lowerRoman"/>
      <w:lvlText w:val="%3."/>
      <w:lvlJc w:val="right"/>
      <w:pPr>
        <w:ind w:left="3077" w:hanging="180"/>
      </w:pPr>
    </w:lvl>
    <w:lvl w:ilvl="3" w:tplc="240A000F" w:tentative="1">
      <w:start w:val="1"/>
      <w:numFmt w:val="decimal"/>
      <w:lvlText w:val="%4."/>
      <w:lvlJc w:val="left"/>
      <w:pPr>
        <w:ind w:left="3797" w:hanging="360"/>
      </w:pPr>
    </w:lvl>
    <w:lvl w:ilvl="4" w:tplc="240A0019" w:tentative="1">
      <w:start w:val="1"/>
      <w:numFmt w:val="lowerLetter"/>
      <w:lvlText w:val="%5."/>
      <w:lvlJc w:val="left"/>
      <w:pPr>
        <w:ind w:left="4517" w:hanging="360"/>
      </w:pPr>
    </w:lvl>
    <w:lvl w:ilvl="5" w:tplc="240A001B" w:tentative="1">
      <w:start w:val="1"/>
      <w:numFmt w:val="lowerRoman"/>
      <w:lvlText w:val="%6."/>
      <w:lvlJc w:val="right"/>
      <w:pPr>
        <w:ind w:left="5237" w:hanging="180"/>
      </w:pPr>
    </w:lvl>
    <w:lvl w:ilvl="6" w:tplc="240A000F" w:tentative="1">
      <w:start w:val="1"/>
      <w:numFmt w:val="decimal"/>
      <w:lvlText w:val="%7."/>
      <w:lvlJc w:val="left"/>
      <w:pPr>
        <w:ind w:left="5957" w:hanging="360"/>
      </w:pPr>
    </w:lvl>
    <w:lvl w:ilvl="7" w:tplc="240A0019" w:tentative="1">
      <w:start w:val="1"/>
      <w:numFmt w:val="lowerLetter"/>
      <w:lvlText w:val="%8."/>
      <w:lvlJc w:val="left"/>
      <w:pPr>
        <w:ind w:left="6677" w:hanging="360"/>
      </w:pPr>
    </w:lvl>
    <w:lvl w:ilvl="8" w:tplc="2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62C7281"/>
    <w:multiLevelType w:val="hybridMultilevel"/>
    <w:tmpl w:val="CD084ABA"/>
    <w:lvl w:ilvl="0" w:tplc="2334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C84"/>
    <w:multiLevelType w:val="hybridMultilevel"/>
    <w:tmpl w:val="A768CD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3D65"/>
    <w:multiLevelType w:val="hybridMultilevel"/>
    <w:tmpl w:val="159C4F3E"/>
    <w:lvl w:ilvl="0" w:tplc="5F70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27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89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C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1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05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0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26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6E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15D57"/>
    <w:multiLevelType w:val="hybridMultilevel"/>
    <w:tmpl w:val="2EF492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5008"/>
    <w:multiLevelType w:val="hybridMultilevel"/>
    <w:tmpl w:val="46E2CD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3083B"/>
    <w:multiLevelType w:val="hybridMultilevel"/>
    <w:tmpl w:val="EEC81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F3D4E"/>
    <w:multiLevelType w:val="hybridMultilevel"/>
    <w:tmpl w:val="56986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314F"/>
    <w:multiLevelType w:val="hybridMultilevel"/>
    <w:tmpl w:val="88B86E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67EC6"/>
    <w:multiLevelType w:val="hybridMultilevel"/>
    <w:tmpl w:val="9912B1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81A"/>
    <w:multiLevelType w:val="hybridMultilevel"/>
    <w:tmpl w:val="8BEEB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7000"/>
    <w:multiLevelType w:val="hybridMultilevel"/>
    <w:tmpl w:val="D5C0AA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37852"/>
    <w:multiLevelType w:val="hybridMultilevel"/>
    <w:tmpl w:val="85708D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5CBE"/>
    <w:multiLevelType w:val="hybridMultilevel"/>
    <w:tmpl w:val="67B89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1D51"/>
    <w:multiLevelType w:val="hybridMultilevel"/>
    <w:tmpl w:val="C1BE3C02"/>
    <w:lvl w:ilvl="0" w:tplc="608092C8">
      <w:start w:val="97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B35"/>
    <w:multiLevelType w:val="hybridMultilevel"/>
    <w:tmpl w:val="A2F28C9E"/>
    <w:lvl w:ilvl="0" w:tplc="7ABA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540C"/>
    <w:multiLevelType w:val="hybridMultilevel"/>
    <w:tmpl w:val="E1FE77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0CE6"/>
    <w:multiLevelType w:val="hybridMultilevel"/>
    <w:tmpl w:val="C5480C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8655F"/>
    <w:multiLevelType w:val="hybridMultilevel"/>
    <w:tmpl w:val="71AC6F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9121F"/>
    <w:multiLevelType w:val="hybridMultilevel"/>
    <w:tmpl w:val="66BEF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7F77"/>
    <w:multiLevelType w:val="hybridMultilevel"/>
    <w:tmpl w:val="DB281CD0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38EA3904"/>
    <w:multiLevelType w:val="hybridMultilevel"/>
    <w:tmpl w:val="663099E0"/>
    <w:lvl w:ilvl="0" w:tplc="B1A80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20291"/>
    <w:multiLevelType w:val="hybridMultilevel"/>
    <w:tmpl w:val="88127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E28EF"/>
    <w:multiLevelType w:val="hybridMultilevel"/>
    <w:tmpl w:val="53B83F1A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4A833ACE"/>
    <w:multiLevelType w:val="hybridMultilevel"/>
    <w:tmpl w:val="9C722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0C0B"/>
    <w:multiLevelType w:val="hybridMultilevel"/>
    <w:tmpl w:val="D7A42946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51AF5BD8"/>
    <w:multiLevelType w:val="hybridMultilevel"/>
    <w:tmpl w:val="443AFA18"/>
    <w:lvl w:ilvl="0" w:tplc="2D84A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86E"/>
    <w:multiLevelType w:val="hybridMultilevel"/>
    <w:tmpl w:val="9B86D1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0569F"/>
    <w:multiLevelType w:val="hybridMultilevel"/>
    <w:tmpl w:val="9060155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54841D29"/>
    <w:multiLevelType w:val="hybridMultilevel"/>
    <w:tmpl w:val="76D09A0C"/>
    <w:lvl w:ilvl="0" w:tplc="0848F6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F408A"/>
    <w:multiLevelType w:val="hybridMultilevel"/>
    <w:tmpl w:val="40EC2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F2A2A"/>
    <w:multiLevelType w:val="hybridMultilevel"/>
    <w:tmpl w:val="8FA431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204D2"/>
    <w:multiLevelType w:val="hybridMultilevel"/>
    <w:tmpl w:val="68528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4027"/>
    <w:multiLevelType w:val="hybridMultilevel"/>
    <w:tmpl w:val="04E4216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818F1"/>
    <w:multiLevelType w:val="hybridMultilevel"/>
    <w:tmpl w:val="2C46D93E"/>
    <w:lvl w:ilvl="0" w:tplc="CF40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8E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C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05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4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C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FD25DD"/>
    <w:multiLevelType w:val="hybridMultilevel"/>
    <w:tmpl w:val="784EC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F0D54"/>
    <w:multiLevelType w:val="hybridMultilevel"/>
    <w:tmpl w:val="7D50C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372"/>
    <w:multiLevelType w:val="hybridMultilevel"/>
    <w:tmpl w:val="18D02C4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1C9B"/>
    <w:multiLevelType w:val="multilevel"/>
    <w:tmpl w:val="4D7C0FCE"/>
    <w:lvl w:ilvl="0">
      <w:start w:val="1"/>
      <w:numFmt w:val="bullet"/>
      <w:pStyle w:val="Listaconvietas"/>
      <w:lvlText w:val="§"/>
      <w:lvlJc w:val="left"/>
      <w:pPr>
        <w:tabs>
          <w:tab w:val="num" w:pos="1719"/>
        </w:tabs>
        <w:ind w:left="1719" w:hanging="595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pStyle w:val="Listaconvietas2"/>
      <w:lvlText w:val="§"/>
      <w:lvlJc w:val="left"/>
      <w:pPr>
        <w:tabs>
          <w:tab w:val="num" w:pos="2315"/>
        </w:tabs>
        <w:ind w:left="2315" w:hanging="595"/>
      </w:pPr>
      <w:rPr>
        <w:rFonts w:ascii="Wingdings" w:hAnsi="Wingdings" w:hint="default"/>
        <w:sz w:val="18"/>
      </w:rPr>
    </w:lvl>
    <w:lvl w:ilvl="2">
      <w:start w:val="1"/>
      <w:numFmt w:val="bullet"/>
      <w:pStyle w:val="Listaconvietas3"/>
      <w:lvlText w:val="§"/>
      <w:lvlJc w:val="left"/>
      <w:pPr>
        <w:tabs>
          <w:tab w:val="num" w:pos="2910"/>
        </w:tabs>
        <w:ind w:left="2910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Listaconvietas4"/>
      <w:lvlText w:val="§"/>
      <w:lvlJc w:val="left"/>
      <w:pPr>
        <w:tabs>
          <w:tab w:val="num" w:pos="3505"/>
        </w:tabs>
        <w:ind w:left="3505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Listaconvietas5"/>
      <w:lvlText w:val="§"/>
      <w:lvlJc w:val="left"/>
      <w:pPr>
        <w:tabs>
          <w:tab w:val="num" w:pos="4100"/>
        </w:tabs>
        <w:ind w:left="4100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4696"/>
        </w:tabs>
        <w:ind w:left="4696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5291"/>
        </w:tabs>
        <w:ind w:left="5291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5886"/>
        </w:tabs>
        <w:ind w:left="5886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5886"/>
        </w:tabs>
        <w:ind w:left="5886" w:hanging="595"/>
      </w:pPr>
      <w:rPr>
        <w:rFonts w:ascii="Wingdings" w:hAnsi="Wingdings" w:hint="default"/>
        <w:sz w:val="18"/>
      </w:rPr>
    </w:lvl>
  </w:abstractNum>
  <w:abstractNum w:abstractNumId="40" w15:restartNumberingAfterBreak="0">
    <w:nsid w:val="7A8A53C8"/>
    <w:multiLevelType w:val="hybridMultilevel"/>
    <w:tmpl w:val="5E5A27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27"/>
  </w:num>
  <w:num w:numId="4">
    <w:abstractNumId w:val="31"/>
  </w:num>
  <w:num w:numId="5">
    <w:abstractNumId w:val="3"/>
  </w:num>
  <w:num w:numId="6">
    <w:abstractNumId w:val="13"/>
  </w:num>
  <w:num w:numId="7">
    <w:abstractNumId w:val="6"/>
  </w:num>
  <w:num w:numId="8">
    <w:abstractNumId w:val="32"/>
  </w:num>
  <w:num w:numId="9">
    <w:abstractNumId w:val="19"/>
  </w:num>
  <w:num w:numId="10">
    <w:abstractNumId w:val="23"/>
  </w:num>
  <w:num w:numId="11">
    <w:abstractNumId w:val="11"/>
  </w:num>
  <w:num w:numId="12">
    <w:abstractNumId w:val="14"/>
  </w:num>
  <w:num w:numId="13">
    <w:abstractNumId w:val="2"/>
  </w:num>
  <w:num w:numId="14">
    <w:abstractNumId w:val="25"/>
  </w:num>
  <w:num w:numId="15">
    <w:abstractNumId w:val="18"/>
  </w:num>
  <w:num w:numId="16">
    <w:abstractNumId w:val="28"/>
  </w:num>
  <w:num w:numId="17">
    <w:abstractNumId w:val="20"/>
  </w:num>
  <w:num w:numId="18">
    <w:abstractNumId w:val="4"/>
  </w:num>
  <w:num w:numId="19">
    <w:abstractNumId w:val="29"/>
  </w:num>
  <w:num w:numId="20">
    <w:abstractNumId w:val="26"/>
  </w:num>
  <w:num w:numId="21">
    <w:abstractNumId w:val="24"/>
  </w:num>
  <w:num w:numId="22">
    <w:abstractNumId w:val="21"/>
  </w:num>
  <w:num w:numId="23">
    <w:abstractNumId w:val="15"/>
  </w:num>
  <w:num w:numId="24">
    <w:abstractNumId w:val="12"/>
  </w:num>
  <w:num w:numId="25">
    <w:abstractNumId w:val="17"/>
  </w:num>
  <w:num w:numId="26">
    <w:abstractNumId w:val="22"/>
  </w:num>
  <w:num w:numId="27">
    <w:abstractNumId w:val="40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0"/>
  </w:num>
  <w:num w:numId="36">
    <w:abstractNumId w:val="39"/>
  </w:num>
  <w:num w:numId="37">
    <w:abstractNumId w:val="1"/>
  </w:num>
  <w:num w:numId="38">
    <w:abstractNumId w:val="36"/>
  </w:num>
  <w:num w:numId="39">
    <w:abstractNumId w:val="10"/>
  </w:num>
  <w:num w:numId="40">
    <w:abstractNumId w:val="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E7"/>
    <w:rsid w:val="000008A9"/>
    <w:rsid w:val="000038B4"/>
    <w:rsid w:val="000127E0"/>
    <w:rsid w:val="0002565D"/>
    <w:rsid w:val="00032B1E"/>
    <w:rsid w:val="00064B38"/>
    <w:rsid w:val="000676FD"/>
    <w:rsid w:val="00072B81"/>
    <w:rsid w:val="000756FF"/>
    <w:rsid w:val="00094ACC"/>
    <w:rsid w:val="000A7F5B"/>
    <w:rsid w:val="000C0FFC"/>
    <w:rsid w:val="000C1307"/>
    <w:rsid w:val="000C3AD4"/>
    <w:rsid w:val="000D0751"/>
    <w:rsid w:val="000D3C48"/>
    <w:rsid w:val="000E2C34"/>
    <w:rsid w:val="000E3420"/>
    <w:rsid w:val="000E67BA"/>
    <w:rsid w:val="000F02C8"/>
    <w:rsid w:val="000F3949"/>
    <w:rsid w:val="000F6EA1"/>
    <w:rsid w:val="000F76E9"/>
    <w:rsid w:val="000F7BE4"/>
    <w:rsid w:val="0010384B"/>
    <w:rsid w:val="001054C1"/>
    <w:rsid w:val="00105BA6"/>
    <w:rsid w:val="00107556"/>
    <w:rsid w:val="00107BA7"/>
    <w:rsid w:val="001123C4"/>
    <w:rsid w:val="001336ED"/>
    <w:rsid w:val="00145D3B"/>
    <w:rsid w:val="001514DA"/>
    <w:rsid w:val="00154D4D"/>
    <w:rsid w:val="0015601F"/>
    <w:rsid w:val="00156134"/>
    <w:rsid w:val="00170ABE"/>
    <w:rsid w:val="00174108"/>
    <w:rsid w:val="00174498"/>
    <w:rsid w:val="00175827"/>
    <w:rsid w:val="0018180B"/>
    <w:rsid w:val="00185C43"/>
    <w:rsid w:val="00191F33"/>
    <w:rsid w:val="00193D1B"/>
    <w:rsid w:val="00194950"/>
    <w:rsid w:val="001A3822"/>
    <w:rsid w:val="001B3BE4"/>
    <w:rsid w:val="001B6A94"/>
    <w:rsid w:val="001C2879"/>
    <w:rsid w:val="001C7334"/>
    <w:rsid w:val="001D78DF"/>
    <w:rsid w:val="001F4133"/>
    <w:rsid w:val="00200093"/>
    <w:rsid w:val="002075F9"/>
    <w:rsid w:val="00210DBF"/>
    <w:rsid w:val="00214EA6"/>
    <w:rsid w:val="002245ED"/>
    <w:rsid w:val="0022500F"/>
    <w:rsid w:val="00232502"/>
    <w:rsid w:val="002479C7"/>
    <w:rsid w:val="00247C42"/>
    <w:rsid w:val="00251865"/>
    <w:rsid w:val="00252E03"/>
    <w:rsid w:val="002549ED"/>
    <w:rsid w:val="00257D82"/>
    <w:rsid w:val="00260184"/>
    <w:rsid w:val="00261AA8"/>
    <w:rsid w:val="00262194"/>
    <w:rsid w:val="00263E5E"/>
    <w:rsid w:val="00266CAF"/>
    <w:rsid w:val="00286FB6"/>
    <w:rsid w:val="002A2D43"/>
    <w:rsid w:val="002A5CD9"/>
    <w:rsid w:val="002B1BC1"/>
    <w:rsid w:val="002B4FAE"/>
    <w:rsid w:val="002B5899"/>
    <w:rsid w:val="002D08A5"/>
    <w:rsid w:val="002D4B35"/>
    <w:rsid w:val="002D7B4F"/>
    <w:rsid w:val="002E1893"/>
    <w:rsid w:val="002E546F"/>
    <w:rsid w:val="002F3AB4"/>
    <w:rsid w:val="002F5A64"/>
    <w:rsid w:val="003124AF"/>
    <w:rsid w:val="003331E2"/>
    <w:rsid w:val="00341831"/>
    <w:rsid w:val="00345BC3"/>
    <w:rsid w:val="00347A2A"/>
    <w:rsid w:val="00352992"/>
    <w:rsid w:val="00362966"/>
    <w:rsid w:val="00363220"/>
    <w:rsid w:val="00365228"/>
    <w:rsid w:val="00366E77"/>
    <w:rsid w:val="00377D13"/>
    <w:rsid w:val="00380666"/>
    <w:rsid w:val="00380CA2"/>
    <w:rsid w:val="003837DD"/>
    <w:rsid w:val="003870E7"/>
    <w:rsid w:val="003A0292"/>
    <w:rsid w:val="003A1F5A"/>
    <w:rsid w:val="003A472B"/>
    <w:rsid w:val="003C17B3"/>
    <w:rsid w:val="003C2E84"/>
    <w:rsid w:val="003C5CD5"/>
    <w:rsid w:val="003D71BA"/>
    <w:rsid w:val="003E11B4"/>
    <w:rsid w:val="003E6FEA"/>
    <w:rsid w:val="003E74D3"/>
    <w:rsid w:val="003F24AF"/>
    <w:rsid w:val="003F2E31"/>
    <w:rsid w:val="00425369"/>
    <w:rsid w:val="00431167"/>
    <w:rsid w:val="00431ECD"/>
    <w:rsid w:val="00440EBB"/>
    <w:rsid w:val="00441AA8"/>
    <w:rsid w:val="00445CE1"/>
    <w:rsid w:val="004502E5"/>
    <w:rsid w:val="004560C7"/>
    <w:rsid w:val="00474313"/>
    <w:rsid w:val="00480F05"/>
    <w:rsid w:val="004961A8"/>
    <w:rsid w:val="004B21A5"/>
    <w:rsid w:val="004B4A3A"/>
    <w:rsid w:val="004B5659"/>
    <w:rsid w:val="004C2F64"/>
    <w:rsid w:val="004D019F"/>
    <w:rsid w:val="004E20CE"/>
    <w:rsid w:val="004E268B"/>
    <w:rsid w:val="004E28D9"/>
    <w:rsid w:val="004E4413"/>
    <w:rsid w:val="00501019"/>
    <w:rsid w:val="00503E12"/>
    <w:rsid w:val="00510B44"/>
    <w:rsid w:val="00516E2B"/>
    <w:rsid w:val="00521E4F"/>
    <w:rsid w:val="00532135"/>
    <w:rsid w:val="005339E9"/>
    <w:rsid w:val="005528C7"/>
    <w:rsid w:val="00554364"/>
    <w:rsid w:val="005545B9"/>
    <w:rsid w:val="005629FC"/>
    <w:rsid w:val="00563604"/>
    <w:rsid w:val="00567435"/>
    <w:rsid w:val="005712C7"/>
    <w:rsid w:val="00572188"/>
    <w:rsid w:val="00576993"/>
    <w:rsid w:val="005871FD"/>
    <w:rsid w:val="005960BA"/>
    <w:rsid w:val="005A4260"/>
    <w:rsid w:val="005A59F0"/>
    <w:rsid w:val="005B15FF"/>
    <w:rsid w:val="005B5B53"/>
    <w:rsid w:val="005C4B03"/>
    <w:rsid w:val="005C4B95"/>
    <w:rsid w:val="005C53A5"/>
    <w:rsid w:val="005D38C4"/>
    <w:rsid w:val="005D5810"/>
    <w:rsid w:val="005E2637"/>
    <w:rsid w:val="005E6F66"/>
    <w:rsid w:val="006048BA"/>
    <w:rsid w:val="00610E96"/>
    <w:rsid w:val="0061416A"/>
    <w:rsid w:val="00614D22"/>
    <w:rsid w:val="00622957"/>
    <w:rsid w:val="00661D2F"/>
    <w:rsid w:val="00664DA2"/>
    <w:rsid w:val="006656DD"/>
    <w:rsid w:val="00670131"/>
    <w:rsid w:val="00673DB0"/>
    <w:rsid w:val="00682F4C"/>
    <w:rsid w:val="00684484"/>
    <w:rsid w:val="0068621B"/>
    <w:rsid w:val="00690222"/>
    <w:rsid w:val="006A064C"/>
    <w:rsid w:val="006B71AC"/>
    <w:rsid w:val="006E770E"/>
    <w:rsid w:val="00714407"/>
    <w:rsid w:val="007314FC"/>
    <w:rsid w:val="00737403"/>
    <w:rsid w:val="00744638"/>
    <w:rsid w:val="00751F93"/>
    <w:rsid w:val="007607A7"/>
    <w:rsid w:val="0077492B"/>
    <w:rsid w:val="0077792E"/>
    <w:rsid w:val="00780F2D"/>
    <w:rsid w:val="00790292"/>
    <w:rsid w:val="00792A40"/>
    <w:rsid w:val="007A30FF"/>
    <w:rsid w:val="007B4D53"/>
    <w:rsid w:val="007C433D"/>
    <w:rsid w:val="007F228A"/>
    <w:rsid w:val="007F4E5D"/>
    <w:rsid w:val="00802585"/>
    <w:rsid w:val="008043EC"/>
    <w:rsid w:val="008113C0"/>
    <w:rsid w:val="00811988"/>
    <w:rsid w:val="00820839"/>
    <w:rsid w:val="00824E5A"/>
    <w:rsid w:val="00840185"/>
    <w:rsid w:val="008459AC"/>
    <w:rsid w:val="0087385F"/>
    <w:rsid w:val="0087581D"/>
    <w:rsid w:val="00891F1A"/>
    <w:rsid w:val="008D6761"/>
    <w:rsid w:val="008D6BFF"/>
    <w:rsid w:val="008E5EE6"/>
    <w:rsid w:val="008F2878"/>
    <w:rsid w:val="008F66E3"/>
    <w:rsid w:val="0090292E"/>
    <w:rsid w:val="00905CB3"/>
    <w:rsid w:val="00907A81"/>
    <w:rsid w:val="00931FA7"/>
    <w:rsid w:val="00940115"/>
    <w:rsid w:val="009409D6"/>
    <w:rsid w:val="00946EE0"/>
    <w:rsid w:val="0095193E"/>
    <w:rsid w:val="009528F2"/>
    <w:rsid w:val="009557D1"/>
    <w:rsid w:val="00957D98"/>
    <w:rsid w:val="009611E4"/>
    <w:rsid w:val="00961FCB"/>
    <w:rsid w:val="00965E69"/>
    <w:rsid w:val="00972F7A"/>
    <w:rsid w:val="00983BBB"/>
    <w:rsid w:val="00990149"/>
    <w:rsid w:val="009973EF"/>
    <w:rsid w:val="009B0069"/>
    <w:rsid w:val="009B0CBA"/>
    <w:rsid w:val="009C1C85"/>
    <w:rsid w:val="009C4B6E"/>
    <w:rsid w:val="009C7979"/>
    <w:rsid w:val="009E1C45"/>
    <w:rsid w:val="009E3CA8"/>
    <w:rsid w:val="009E7016"/>
    <w:rsid w:val="009F3733"/>
    <w:rsid w:val="009F6E1B"/>
    <w:rsid w:val="00A064DA"/>
    <w:rsid w:val="00A06A15"/>
    <w:rsid w:val="00A126DE"/>
    <w:rsid w:val="00A13138"/>
    <w:rsid w:val="00A15F32"/>
    <w:rsid w:val="00A231BA"/>
    <w:rsid w:val="00A249D1"/>
    <w:rsid w:val="00A273F8"/>
    <w:rsid w:val="00A27EF1"/>
    <w:rsid w:val="00A3446F"/>
    <w:rsid w:val="00A50CA9"/>
    <w:rsid w:val="00A5314D"/>
    <w:rsid w:val="00A70037"/>
    <w:rsid w:val="00A95477"/>
    <w:rsid w:val="00AA46A8"/>
    <w:rsid w:val="00AA6F07"/>
    <w:rsid w:val="00AB16D7"/>
    <w:rsid w:val="00AC37F5"/>
    <w:rsid w:val="00AD4950"/>
    <w:rsid w:val="00AE3AA7"/>
    <w:rsid w:val="00AE6D52"/>
    <w:rsid w:val="00AE7F1E"/>
    <w:rsid w:val="00AF27CD"/>
    <w:rsid w:val="00AF3EC7"/>
    <w:rsid w:val="00AF6DE8"/>
    <w:rsid w:val="00AF7F3D"/>
    <w:rsid w:val="00B0491C"/>
    <w:rsid w:val="00B16AAE"/>
    <w:rsid w:val="00B2163F"/>
    <w:rsid w:val="00B30645"/>
    <w:rsid w:val="00B3481A"/>
    <w:rsid w:val="00B355A6"/>
    <w:rsid w:val="00B3708A"/>
    <w:rsid w:val="00B422B0"/>
    <w:rsid w:val="00B51E20"/>
    <w:rsid w:val="00B54E99"/>
    <w:rsid w:val="00B5739C"/>
    <w:rsid w:val="00B66B81"/>
    <w:rsid w:val="00B74A3D"/>
    <w:rsid w:val="00B74B74"/>
    <w:rsid w:val="00B75901"/>
    <w:rsid w:val="00B86D26"/>
    <w:rsid w:val="00BA17F1"/>
    <w:rsid w:val="00BA6C60"/>
    <w:rsid w:val="00BA7FF9"/>
    <w:rsid w:val="00BB0315"/>
    <w:rsid w:val="00BB533A"/>
    <w:rsid w:val="00BE1206"/>
    <w:rsid w:val="00BE49AD"/>
    <w:rsid w:val="00BF5AE5"/>
    <w:rsid w:val="00BF6172"/>
    <w:rsid w:val="00C101D8"/>
    <w:rsid w:val="00C10855"/>
    <w:rsid w:val="00C201E8"/>
    <w:rsid w:val="00C31DC8"/>
    <w:rsid w:val="00C32724"/>
    <w:rsid w:val="00C52812"/>
    <w:rsid w:val="00C5492B"/>
    <w:rsid w:val="00C63677"/>
    <w:rsid w:val="00C705FD"/>
    <w:rsid w:val="00C7163A"/>
    <w:rsid w:val="00CB2353"/>
    <w:rsid w:val="00CC56B0"/>
    <w:rsid w:val="00CD0E1D"/>
    <w:rsid w:val="00CD0ECF"/>
    <w:rsid w:val="00CD603D"/>
    <w:rsid w:val="00CD72BA"/>
    <w:rsid w:val="00D01373"/>
    <w:rsid w:val="00D12970"/>
    <w:rsid w:val="00D16CB6"/>
    <w:rsid w:val="00D2281F"/>
    <w:rsid w:val="00D2404A"/>
    <w:rsid w:val="00D2535B"/>
    <w:rsid w:val="00D32A6E"/>
    <w:rsid w:val="00D42816"/>
    <w:rsid w:val="00D47658"/>
    <w:rsid w:val="00D540E7"/>
    <w:rsid w:val="00D72213"/>
    <w:rsid w:val="00D72D9B"/>
    <w:rsid w:val="00D83C43"/>
    <w:rsid w:val="00D92AC8"/>
    <w:rsid w:val="00D93E27"/>
    <w:rsid w:val="00DA5573"/>
    <w:rsid w:val="00DA7658"/>
    <w:rsid w:val="00DB4742"/>
    <w:rsid w:val="00DB7012"/>
    <w:rsid w:val="00DC1E36"/>
    <w:rsid w:val="00DC2954"/>
    <w:rsid w:val="00DD17F3"/>
    <w:rsid w:val="00DE762B"/>
    <w:rsid w:val="00DF2D55"/>
    <w:rsid w:val="00DF4362"/>
    <w:rsid w:val="00E01BBD"/>
    <w:rsid w:val="00E245D0"/>
    <w:rsid w:val="00E43691"/>
    <w:rsid w:val="00E45036"/>
    <w:rsid w:val="00E50A87"/>
    <w:rsid w:val="00E64528"/>
    <w:rsid w:val="00E82110"/>
    <w:rsid w:val="00E840DA"/>
    <w:rsid w:val="00E844A8"/>
    <w:rsid w:val="00E96B98"/>
    <w:rsid w:val="00EA11D0"/>
    <w:rsid w:val="00EA4A4E"/>
    <w:rsid w:val="00EB37F3"/>
    <w:rsid w:val="00EC00B8"/>
    <w:rsid w:val="00EC39B1"/>
    <w:rsid w:val="00ED02B9"/>
    <w:rsid w:val="00ED1E69"/>
    <w:rsid w:val="00ED488E"/>
    <w:rsid w:val="00EF0C42"/>
    <w:rsid w:val="00EF4CAE"/>
    <w:rsid w:val="00EF704A"/>
    <w:rsid w:val="00F1136A"/>
    <w:rsid w:val="00F1707B"/>
    <w:rsid w:val="00F3070A"/>
    <w:rsid w:val="00F42604"/>
    <w:rsid w:val="00F46DD0"/>
    <w:rsid w:val="00F5663A"/>
    <w:rsid w:val="00F70CBE"/>
    <w:rsid w:val="00F74119"/>
    <w:rsid w:val="00F83A77"/>
    <w:rsid w:val="00F879B5"/>
    <w:rsid w:val="00F91BE2"/>
    <w:rsid w:val="00FA040F"/>
    <w:rsid w:val="00FB4AB6"/>
    <w:rsid w:val="00FC1192"/>
    <w:rsid w:val="00FD297D"/>
    <w:rsid w:val="00FD502E"/>
    <w:rsid w:val="00FE1F2F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B1E1-4CD7-4CF9-AA41-CB38CFD8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2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A126DE"/>
    <w:pPr>
      <w:keepLines w:val="0"/>
      <w:spacing w:before="120" w:after="60" w:line="264" w:lineRule="auto"/>
      <w:outlineLvl w:val="1"/>
    </w:pPr>
    <w:rPr>
      <w:rFonts w:ascii="Akzidenz Grotesk Light" w:eastAsia="Times New Roman" w:hAnsi="Akzidenz Grotesk Light" w:cs="Arial"/>
      <w:b/>
      <w:iCs/>
      <w:color w:val="auto"/>
      <w:kern w:val="32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496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F4362"/>
    <w:rPr>
      <w:b/>
      <w:bCs/>
    </w:r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34"/>
    <w:locked/>
    <w:rsid w:val="00B74A3D"/>
  </w:style>
  <w:style w:type="paragraph" w:styleId="Textodeglobo">
    <w:name w:val="Balloon Text"/>
    <w:basedOn w:val="Normal"/>
    <w:link w:val="TextodegloboCar"/>
    <w:uiPriority w:val="99"/>
    <w:semiHidden/>
    <w:unhideWhenUsed/>
    <w:rsid w:val="009F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E1B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99"/>
    <w:rsid w:val="00377D13"/>
    <w:pPr>
      <w:numPr>
        <w:numId w:val="36"/>
      </w:numPr>
      <w:tabs>
        <w:tab w:val="left" w:pos="567"/>
      </w:tabs>
      <w:spacing w:after="240" w:line="18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Listaconvietas2">
    <w:name w:val="List Bullet 2"/>
    <w:basedOn w:val="Normal"/>
    <w:uiPriority w:val="99"/>
    <w:rsid w:val="00377D13"/>
    <w:pPr>
      <w:numPr>
        <w:ilvl w:val="1"/>
        <w:numId w:val="36"/>
      </w:numPr>
      <w:spacing w:after="240" w:line="18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Listaconvietas3">
    <w:name w:val="List Bullet 3"/>
    <w:basedOn w:val="Normal"/>
    <w:uiPriority w:val="99"/>
    <w:rsid w:val="00377D13"/>
    <w:pPr>
      <w:numPr>
        <w:ilvl w:val="2"/>
        <w:numId w:val="36"/>
      </w:numPr>
      <w:spacing w:after="240" w:line="18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Listaconvietas4">
    <w:name w:val="List Bullet 4"/>
    <w:basedOn w:val="Normal"/>
    <w:uiPriority w:val="99"/>
    <w:rsid w:val="00377D13"/>
    <w:pPr>
      <w:numPr>
        <w:ilvl w:val="3"/>
        <w:numId w:val="36"/>
      </w:numPr>
      <w:spacing w:after="240" w:line="18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Listaconvietas5">
    <w:name w:val="List Bullet 5"/>
    <w:basedOn w:val="Normal"/>
    <w:uiPriority w:val="99"/>
    <w:rsid w:val="00377D13"/>
    <w:pPr>
      <w:numPr>
        <w:ilvl w:val="4"/>
        <w:numId w:val="36"/>
      </w:numPr>
      <w:spacing w:after="240" w:line="18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A126DE"/>
    <w:rPr>
      <w:rFonts w:ascii="Akzidenz Grotesk Light" w:eastAsia="Times New Roman" w:hAnsi="Akzidenz Grotesk Light" w:cs="Arial"/>
      <w:b/>
      <w:iCs/>
      <w:kern w:val="32"/>
      <w:sz w:val="24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12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47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212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3DE-9D9A-40F4-B856-902C807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Ricardo Cortes Rivera</dc:creator>
  <cp:keywords/>
  <dc:description/>
  <cp:lastModifiedBy>Monica Alexandra Gonzalez Moreno</cp:lastModifiedBy>
  <cp:revision>2</cp:revision>
  <cp:lastPrinted>2019-01-11T19:25:00Z</cp:lastPrinted>
  <dcterms:created xsi:type="dcterms:W3CDTF">2019-02-27T16:40:00Z</dcterms:created>
  <dcterms:modified xsi:type="dcterms:W3CDTF">2019-02-27T16:40:00Z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