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987"/>
        <w:gridCol w:w="527"/>
        <w:gridCol w:w="896"/>
        <w:gridCol w:w="1843"/>
        <w:gridCol w:w="1133"/>
        <w:gridCol w:w="680"/>
        <w:gridCol w:w="419"/>
        <w:gridCol w:w="692"/>
        <w:gridCol w:w="419"/>
        <w:gridCol w:w="689"/>
        <w:gridCol w:w="641"/>
      </w:tblGrid>
      <w:tr w:rsidR="003870E7" w:rsidRPr="003870E7" w14:paraId="50619A42" w14:textId="77777777" w:rsidTr="000E7086">
        <w:trPr>
          <w:trHeight w:val="1140"/>
        </w:trPr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7D7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6704" behindDoc="0" locked="0" layoutInCell="1" allowOverlap="1" wp14:anchorId="0D924951" wp14:editId="401371A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85725</wp:posOffset>
                  </wp:positionV>
                  <wp:extent cx="1162050" cy="533400"/>
                  <wp:effectExtent l="0" t="0" r="0" b="0"/>
                  <wp:wrapNone/>
                  <wp:docPr id="2100" name="Imagen 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870E7" w:rsidRPr="003870E7" w14:paraId="4C851C10" w14:textId="77777777">
              <w:trPr>
                <w:trHeight w:val="1140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A86DF" w14:textId="77777777" w:rsidR="003870E7" w:rsidRPr="003870E7" w:rsidRDefault="003870E7" w:rsidP="003870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870E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14:paraId="29925FD1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8BC5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FB1916" wp14:editId="6FFE348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123825</wp:posOffset>
                      </wp:positionV>
                      <wp:extent cx="1781175" cy="495300"/>
                      <wp:effectExtent l="0" t="0" r="28575" b="19050"/>
                      <wp:wrapNone/>
                      <wp:docPr id="3" name="Rectángulo redondead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B948EA-E7E3-4A62-8AE0-7E8FA9CD38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8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43261" w14:textId="77777777" w:rsidR="00543DE3" w:rsidRDefault="00543DE3" w:rsidP="003870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21"/>
                                      <w:szCs w:val="21"/>
                                    </w:rPr>
                                    <w:t>INFORME DE AUDITORÍAS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FB1916" id="Rectángulo redondeado 3" o:spid="_x0000_s1026" style="position:absolute;margin-left:17.25pt;margin-top:9.75pt;width:140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" fillcolor="maroon" strokecolor="maroon" strokeweight="1pt">
                      <v:stroke joinstyle="miter"/>
                      <v:textbox>
                        <w:txbxContent>
                          <w:p w14:paraId="45743261" w14:textId="77777777" w:rsidR="00543DE3" w:rsidRDefault="00543DE3" w:rsidP="003870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21"/>
                                <w:szCs w:val="21"/>
                              </w:rPr>
                              <w:t>INFORME DE AUDITORÍAS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3870E7" w:rsidRPr="003870E7" w14:paraId="0FAF4DE7" w14:textId="77777777">
              <w:trPr>
                <w:trHeight w:val="114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90346" w14:textId="77777777" w:rsidR="003870E7" w:rsidRPr="003870E7" w:rsidRDefault="003870E7" w:rsidP="003870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870E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14:paraId="534C569B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6149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3259EB" wp14:editId="54B04072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76835</wp:posOffset>
                      </wp:positionV>
                      <wp:extent cx="1675130" cy="619125"/>
                      <wp:effectExtent l="0" t="0" r="20320" b="28575"/>
                      <wp:wrapNone/>
                      <wp:docPr id="4" name="Rectángulo redondead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BC1671-4566-41C4-BE33-5046322B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619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8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8F78D0" w14:textId="77777777" w:rsidR="00543DE3" w:rsidRDefault="00543DE3" w:rsidP="003870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Código: EAD-FT-07 Versión: 01</w:t>
                                  </w:r>
                                </w:p>
                                <w:p w14:paraId="751A8426" w14:textId="77777777" w:rsidR="00543DE3" w:rsidRDefault="00543DE3" w:rsidP="003870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Rige a partir de su publicación en el SIG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3259EB" id="Rectángulo redondeado 4" o:spid="_x0000_s1027" style="position:absolute;margin-left:21.7pt;margin-top:6.05pt;width:131.9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" filled="f" strokecolor="maroon" strokeweight="1pt">
                      <v:stroke joinstyle="miter"/>
                      <v:textbox>
                        <w:txbxContent>
                          <w:p w14:paraId="228F78D0" w14:textId="77777777" w:rsidR="00543DE3" w:rsidRDefault="00543DE3" w:rsidP="003870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Código: EAD-FT-07 Versión: 01</w:t>
                            </w:r>
                          </w:p>
                          <w:p w14:paraId="751A8426" w14:textId="77777777" w:rsidR="00543DE3" w:rsidRDefault="00543DE3" w:rsidP="003870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Rige a partir de su publicación en el SIG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3870E7" w:rsidRPr="003870E7" w14:paraId="379FA8A0" w14:textId="77777777">
              <w:trPr>
                <w:trHeight w:val="1140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7F35A" w14:textId="77777777" w:rsidR="003870E7" w:rsidRPr="003870E7" w:rsidRDefault="003870E7" w:rsidP="003870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3870E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14:paraId="0314CF4E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870E7" w:rsidRPr="003870E7" w14:paraId="64A2A428" w14:textId="77777777" w:rsidTr="000E7086">
        <w:trPr>
          <w:trHeight w:val="300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14:paraId="4B67B54A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INFORME DE AUDITORÍA </w:t>
            </w:r>
          </w:p>
        </w:tc>
      </w:tr>
      <w:tr w:rsidR="003870E7" w:rsidRPr="003870E7" w14:paraId="7A908FF1" w14:textId="77777777" w:rsidTr="000E7086">
        <w:trPr>
          <w:trHeight w:val="375"/>
        </w:trPr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F49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Numero de Auditoria:</w:t>
            </w:r>
          </w:p>
        </w:tc>
        <w:tc>
          <w:tcPr>
            <w:tcW w:w="74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CDEB" w14:textId="77777777" w:rsid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="001054C1" w:rsidRPr="001054C1">
              <w:rPr>
                <w:rFonts w:ascii="Calibri" w:eastAsia="Times New Roman" w:hAnsi="Calibri" w:cs="Calibri"/>
                <w:color w:val="000000"/>
                <w:lang w:eastAsia="es-CO"/>
              </w:rPr>
              <w:t>201</w:t>
            </w:r>
            <w:r w:rsidR="001C7334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  <w:r w:rsidR="006651B9"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="001054C1" w:rsidRPr="001054C1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  <w:r w:rsidR="001C7334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  <w:p w14:paraId="3AB98783" w14:textId="77777777" w:rsidR="006651B9" w:rsidRPr="003870E7" w:rsidRDefault="006651B9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Gestión de Servicios TIC</w:t>
            </w:r>
          </w:p>
        </w:tc>
      </w:tr>
      <w:tr w:rsidR="003870E7" w:rsidRPr="003870E7" w14:paraId="6B8DD76E" w14:textId="77777777" w:rsidTr="000E7086">
        <w:trPr>
          <w:trHeight w:val="300"/>
        </w:trPr>
        <w:tc>
          <w:tcPr>
            <w:tcW w:w="100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0B36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870E7" w:rsidRPr="003870E7" w14:paraId="263BB3FA" w14:textId="77777777" w:rsidTr="000E7086">
        <w:trPr>
          <w:trHeight w:val="300"/>
        </w:trPr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755F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Reunión de Apertura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9241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B22A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Reunión de Cierre</w:t>
            </w:r>
          </w:p>
        </w:tc>
      </w:tr>
      <w:tr w:rsidR="003870E7" w:rsidRPr="003870E7" w14:paraId="6832791D" w14:textId="77777777" w:rsidTr="000E708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3292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Día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E016" w14:textId="77777777" w:rsidR="003870E7" w:rsidRPr="003870E7" w:rsidRDefault="001C7334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  <w:r w:rsidR="003870E7" w:rsidRPr="0038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65B1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7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Mes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E588" w14:textId="77777777" w:rsidR="003870E7" w:rsidRPr="003870E7" w:rsidRDefault="00FD502E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="001C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3870E7" w:rsidRPr="0038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6F05" w14:textId="77777777" w:rsidR="003870E7" w:rsidRPr="00FD502E" w:rsidRDefault="00FD502E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CO"/>
              </w:rPr>
            </w:pPr>
            <w:r w:rsidRPr="0010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F0C6" w14:textId="77777777" w:rsidR="003870E7" w:rsidRPr="00FD502E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O"/>
              </w:rPr>
            </w:pPr>
            <w:r w:rsidRPr="00FD502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O"/>
              </w:rPr>
              <w:t>Hasta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D397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sz w:val="18"/>
                <w:szCs w:val="18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color w:val="E7E6E6"/>
                <w:sz w:val="18"/>
                <w:szCs w:val="18"/>
                <w:lang w:eastAsia="es-CO"/>
              </w:rPr>
              <w:t>DDMMAAAA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24D7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Día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35E7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="00F32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CB0B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7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Mes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1C98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="00931FA7" w:rsidRPr="00CB15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CB15CF" w:rsidRPr="00CB15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C483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D8DE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  <w:r w:rsidR="00FD5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2018</w:t>
            </w:r>
          </w:p>
        </w:tc>
      </w:tr>
      <w:tr w:rsidR="003870E7" w:rsidRPr="003870E7" w14:paraId="5B17D8E1" w14:textId="77777777" w:rsidTr="000E7086">
        <w:trPr>
          <w:trHeight w:val="630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3DC6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LÍDER DE PROCESO / JEFE(S) DEPENDENCIA(S)</w:t>
            </w:r>
            <w:r w:rsidR="000E67BA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: </w:t>
            </w:r>
            <w:r w:rsidR="000E67BA" w:rsidRPr="000E67B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Roger Quirama Garcia</w:t>
            </w:r>
          </w:p>
        </w:tc>
      </w:tr>
      <w:tr w:rsidR="003870E7" w:rsidRPr="003870E7" w14:paraId="49805E1C" w14:textId="77777777" w:rsidTr="000E7086">
        <w:trPr>
          <w:trHeight w:val="1575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04A2" w14:textId="77777777" w:rsidR="00E844A8" w:rsidRPr="00E844A8" w:rsidRDefault="00E844A8" w:rsidP="00E844A8">
            <w:pPr>
              <w:rPr>
                <w:rFonts w:ascii="Calibri" w:eastAsia="Times New Roman" w:hAnsi="Calibri" w:cs="Calibri"/>
                <w:b/>
                <w:lang w:eastAsia="es-CO"/>
              </w:rPr>
            </w:pPr>
            <w:r w:rsidRPr="00E844A8">
              <w:rPr>
                <w:rFonts w:ascii="Calibri" w:eastAsia="Times New Roman" w:hAnsi="Calibri" w:cs="Calibri"/>
                <w:b/>
                <w:lang w:eastAsia="es-CO"/>
              </w:rPr>
              <w:t>EQUIPO AUDITOR</w:t>
            </w:r>
          </w:p>
          <w:p w14:paraId="2C068CF9" w14:textId="77777777" w:rsidR="00E844A8" w:rsidRPr="00E844A8" w:rsidRDefault="00E844A8" w:rsidP="00E844A8">
            <w:pPr>
              <w:rPr>
                <w:rFonts w:ascii="Calibri" w:eastAsia="Times New Roman" w:hAnsi="Calibri" w:cs="Calibri"/>
                <w:lang w:eastAsia="es-CO"/>
              </w:rPr>
            </w:pPr>
            <w:r w:rsidRPr="00E844A8">
              <w:rPr>
                <w:rFonts w:ascii="Calibri" w:eastAsia="Times New Roman" w:hAnsi="Calibri" w:cs="Calibri"/>
                <w:b/>
                <w:lang w:eastAsia="es-CO"/>
              </w:rPr>
              <w:t>AUDITOR LIDER:</w:t>
            </w:r>
            <w:r w:rsidRPr="00E844A8">
              <w:rPr>
                <w:rFonts w:ascii="Calibri" w:eastAsia="Times New Roman" w:hAnsi="Calibri" w:cs="Calibri"/>
                <w:lang w:eastAsia="es-CO"/>
              </w:rPr>
              <w:t xml:space="preserve"> Mónica Alexandra González Moreno</w:t>
            </w:r>
          </w:p>
          <w:p w14:paraId="125B094C" w14:textId="77777777" w:rsidR="003870E7" w:rsidRPr="00E844A8" w:rsidRDefault="00E844A8" w:rsidP="00A62AAC">
            <w:pPr>
              <w:rPr>
                <w:rFonts w:ascii="Calibri" w:eastAsia="Times New Roman" w:hAnsi="Calibri" w:cs="Calibri"/>
                <w:lang w:eastAsia="es-CO"/>
              </w:rPr>
            </w:pPr>
            <w:r w:rsidRPr="00E844A8">
              <w:rPr>
                <w:rFonts w:ascii="Calibri" w:eastAsia="Times New Roman" w:hAnsi="Calibri" w:cs="Calibri"/>
                <w:b/>
                <w:lang w:eastAsia="es-CO"/>
              </w:rPr>
              <w:t>AUDITOR GESTION:</w:t>
            </w:r>
            <w:r w:rsidRPr="00E844A8">
              <w:rPr>
                <w:rFonts w:ascii="Calibri" w:eastAsia="Times New Roman" w:hAnsi="Calibri" w:cs="Calibri"/>
                <w:lang w:eastAsia="es-CO"/>
              </w:rPr>
              <w:t xml:space="preserve"> Luz Yanira Salamanca, </w:t>
            </w:r>
            <w:r w:rsidR="001C7334">
              <w:rPr>
                <w:rFonts w:ascii="Calibri" w:eastAsia="Times New Roman" w:hAnsi="Calibri" w:cs="Calibri"/>
                <w:lang w:eastAsia="es-CO"/>
              </w:rPr>
              <w:t>Jonnathan Cortes Rivera</w:t>
            </w:r>
          </w:p>
        </w:tc>
      </w:tr>
      <w:tr w:rsidR="003870E7" w:rsidRPr="003870E7" w14:paraId="54CEAD81" w14:textId="77777777" w:rsidTr="000E7086">
        <w:trPr>
          <w:trHeight w:val="450"/>
        </w:trPr>
        <w:tc>
          <w:tcPr>
            <w:tcW w:w="10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262C" w14:textId="77777777" w:rsidR="003870E7" w:rsidRDefault="003870E7" w:rsidP="00E844A8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OBJETIVO DE AUDITORÍA:</w:t>
            </w:r>
            <w:r w:rsidR="00FD50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</w:p>
          <w:p w14:paraId="13704333" w14:textId="77777777" w:rsidR="00E844A8" w:rsidRPr="00E844A8" w:rsidRDefault="00E844A8" w:rsidP="00E844A8">
            <w:pP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844A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Evaluar </w:t>
            </w:r>
            <w:r w:rsidR="00532E0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de manera independiente y objetiva </w:t>
            </w:r>
            <w:r w:rsidRPr="00E844A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la eficacia, eficiencia y efectividad del proceso </w:t>
            </w:r>
            <w:r w:rsidR="001C733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de Gestión de Servicios TIC</w:t>
            </w:r>
          </w:p>
        </w:tc>
      </w:tr>
      <w:tr w:rsidR="003870E7" w:rsidRPr="003870E7" w14:paraId="7C8E6BD8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0DA0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37264A5A" w14:textId="77777777" w:rsidTr="000E7086">
        <w:trPr>
          <w:trHeight w:val="450"/>
        </w:trPr>
        <w:tc>
          <w:tcPr>
            <w:tcW w:w="10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2A90" w14:textId="77777777" w:rsidR="00E844A8" w:rsidRDefault="003870E7" w:rsidP="00E8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ALCANCE DE AUDITORÍA:</w:t>
            </w:r>
            <w:r w:rsidR="00FD50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</w:p>
          <w:p w14:paraId="7989C222" w14:textId="77777777" w:rsidR="001C7334" w:rsidRPr="001C7334" w:rsidRDefault="001C7334" w:rsidP="001C73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1C7334">
              <w:rPr>
                <w:rFonts w:ascii="Calibri" w:eastAsia="Times New Roman" w:hAnsi="Calibri" w:cs="Calibri"/>
                <w:bCs/>
                <w:color w:val="000000"/>
                <w:lang w:val="es-ES" w:eastAsia="es-CO"/>
              </w:rPr>
              <w:t>El alcance de la auditoría al proceso de Gestión de Servicios TIC, comprende la revisión de las siguientes actividades:</w:t>
            </w:r>
          </w:p>
          <w:p w14:paraId="34E97AE1" w14:textId="77777777" w:rsidR="006656DD" w:rsidRPr="001C7334" w:rsidRDefault="000E67BA" w:rsidP="001C733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1C733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Procedimiento Gestión Catálogo de Servicios y Niveles de Servicio</w:t>
            </w:r>
          </w:p>
          <w:p w14:paraId="7C1BCC32" w14:textId="77777777" w:rsidR="006656DD" w:rsidRPr="001C7334" w:rsidRDefault="000E67BA" w:rsidP="001C733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1C733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Procedimiento Gestión de Disponibilidad</w:t>
            </w:r>
          </w:p>
          <w:p w14:paraId="51759EC9" w14:textId="77777777" w:rsidR="006656DD" w:rsidRPr="001C7334" w:rsidRDefault="000E67BA" w:rsidP="001C733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1C733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Procedimiento Gestión de Solicitudes</w:t>
            </w:r>
          </w:p>
          <w:p w14:paraId="28597257" w14:textId="77777777" w:rsidR="006656DD" w:rsidRPr="001C7334" w:rsidRDefault="000E67BA" w:rsidP="001C733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1C733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Procedimiento Gestión de Seguridad Informática</w:t>
            </w:r>
          </w:p>
          <w:p w14:paraId="0A844DF9" w14:textId="77777777" w:rsidR="006656DD" w:rsidRPr="001C7334" w:rsidRDefault="000E67BA" w:rsidP="001C733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1C733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Riesgos (de proceso y de corrupción), Plan de acción, indicadores y Mecanismos de autoevaluación y autocontrol.</w:t>
            </w:r>
          </w:p>
          <w:p w14:paraId="10AFFF2F" w14:textId="77777777" w:rsidR="001C7334" w:rsidRDefault="006651B9" w:rsidP="001C73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1C733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El período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para evaluar</w:t>
            </w:r>
            <w:r w:rsidR="001C7334" w:rsidRPr="001C733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es del 1</w:t>
            </w:r>
            <w:r w:rsidR="000E708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º</w:t>
            </w:r>
            <w:r w:rsidR="001C7334" w:rsidRPr="001C733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 diciembre de 2017 </w:t>
            </w:r>
            <w:r w:rsidR="001C7334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al 31 agosto de 2018</w:t>
            </w:r>
          </w:p>
          <w:p w14:paraId="4ADD6A9E" w14:textId="77777777" w:rsidR="000E7086" w:rsidRPr="001C7334" w:rsidRDefault="000E7086" w:rsidP="001C73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2B50003F" w14:textId="77777777" w:rsidR="004961A8" w:rsidRPr="003870E7" w:rsidRDefault="004961A8" w:rsidP="001C73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23767976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33E3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60D5540C" w14:textId="77777777" w:rsidTr="000E7086">
        <w:trPr>
          <w:trHeight w:val="450"/>
        </w:trPr>
        <w:tc>
          <w:tcPr>
            <w:tcW w:w="10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7039" w14:textId="77777777" w:rsidR="000E7086" w:rsidRDefault="000E7086" w:rsidP="00E844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11C3F1B5" w14:textId="77777777" w:rsidR="00FD502E" w:rsidRDefault="003870E7" w:rsidP="00E844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CRITERIOS DE AUDITORÍA</w:t>
            </w:r>
            <w:r w:rsidRPr="000F02C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:</w:t>
            </w:r>
            <w:r w:rsidR="00FD502E" w:rsidRPr="000F02C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Los criterios de la </w:t>
            </w:r>
            <w:r w:rsidR="0025186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auditoria </w:t>
            </w:r>
            <w:r w:rsidR="000E708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al</w:t>
            </w:r>
            <w:r w:rsidR="0025186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proceso Gestión de Servicios TIC </w:t>
            </w:r>
            <w:r w:rsidR="00FD502E" w:rsidRPr="000F02C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 fundamentan en los planes, programas y documentos que se encuentran </w:t>
            </w:r>
            <w:r w:rsidR="004961A8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aprobados en</w:t>
            </w:r>
            <w:r w:rsidR="00532E0B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el </w:t>
            </w:r>
            <w:r w:rsidR="00CB15CF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SIG</w:t>
            </w:r>
            <w:r w:rsidR="00532E0B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="00532E0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Plan de Acción,</w:t>
            </w:r>
            <w:r w:rsidR="00FD502E" w:rsidRPr="000F02C8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mecanismos </w:t>
            </w:r>
            <w:r w:rsidR="00532E0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de autoevaluación y autocontrol </w:t>
            </w:r>
            <w:r w:rsidR="00532E0B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y</w:t>
            </w:r>
            <w:r w:rsidR="00FD502E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Sistemas de Información que dan apoyo a las actividades dentro del </w:t>
            </w:r>
            <w:r w:rsidR="00E844A8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</w:t>
            </w:r>
            <w:r w:rsidR="00FD502E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roceso</w:t>
            </w:r>
            <w:r w:rsidR="00E844A8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.</w:t>
            </w:r>
          </w:p>
          <w:p w14:paraId="251C6CAB" w14:textId="77777777" w:rsidR="00FD502E" w:rsidRDefault="00FD502E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4E81B3A3" w14:textId="77777777" w:rsidR="00FD502E" w:rsidRPr="003870E7" w:rsidRDefault="00FD502E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5062431E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3669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0E7086" w:rsidRPr="003870E7" w14:paraId="2BE6D785" w14:textId="77777777" w:rsidTr="000E7086">
        <w:trPr>
          <w:trHeight w:val="300"/>
        </w:trPr>
        <w:tc>
          <w:tcPr>
            <w:tcW w:w="100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5C22B" w14:textId="77777777" w:rsidR="00CB15CF" w:rsidRDefault="00CB15CF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870E7" w:rsidRPr="003870E7" w14:paraId="1F21642D" w14:textId="77777777" w:rsidTr="000E7086">
        <w:trPr>
          <w:trHeight w:val="300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14:paraId="51E6D25F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RESUMEN GENERAL</w:t>
            </w:r>
          </w:p>
        </w:tc>
      </w:tr>
      <w:tr w:rsidR="002379C0" w:rsidRPr="003870E7" w14:paraId="758F948D" w14:textId="77777777" w:rsidTr="000E7086">
        <w:trPr>
          <w:trHeight w:val="450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C7C5" w14:textId="77777777" w:rsidR="002379C0" w:rsidRDefault="002379C0" w:rsidP="00237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FORTALEZAS</w:t>
            </w:r>
          </w:p>
          <w:p w14:paraId="0858BDF7" w14:textId="77777777" w:rsidR="002379C0" w:rsidRPr="00FE56D2" w:rsidRDefault="002379C0" w:rsidP="002379C0">
            <w:pPr>
              <w:pStyle w:val="Prrafodelista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4F7C67B3" w14:textId="77777777" w:rsidR="002379C0" w:rsidRPr="000127E0" w:rsidRDefault="002379C0" w:rsidP="006D4A07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t xml:space="preserve">Se implementó la solución </w:t>
            </w:r>
            <w:r w:rsidRPr="00D717CD">
              <w:t>hiperconvergen</w:t>
            </w:r>
            <w:r>
              <w:t xml:space="preserve">te en la Fase I que </w:t>
            </w:r>
            <w:r w:rsidRPr="008911A4">
              <w:t>comprendió: El suministro, configuración de una solución de vi</w:t>
            </w:r>
            <w:r>
              <w:t>r</w:t>
            </w:r>
            <w:r w:rsidRPr="008911A4">
              <w:t>tualización VMware y la infraestructura</w:t>
            </w:r>
            <w:r>
              <w:t xml:space="preserve"> </w:t>
            </w:r>
            <w:r w:rsidRPr="008911A4">
              <w:t>asociada, que le permit</w:t>
            </w:r>
            <w:r>
              <w:t>irá</w:t>
            </w:r>
            <w:r w:rsidRPr="008911A4">
              <w:t xml:space="preserve"> </w:t>
            </w:r>
            <w:r>
              <w:t>al MEN</w:t>
            </w:r>
            <w:r w:rsidRPr="008911A4">
              <w:t>, crear una plataforma</w:t>
            </w:r>
            <w:r>
              <w:t xml:space="preserve"> </w:t>
            </w:r>
            <w:r>
              <w:lastRenderedPageBreak/>
              <w:t>tecnológica</w:t>
            </w:r>
            <w:r w:rsidRPr="008911A4">
              <w:t xml:space="preserve"> multiusuario escalable y de clase empresarial para lograr una administración integral</w:t>
            </w:r>
            <w:r>
              <w:t xml:space="preserve"> y reducir</w:t>
            </w:r>
            <w:r w:rsidRPr="00A249D1">
              <w:t xml:space="preserve"> las ineficiencias</w:t>
            </w:r>
            <w:r>
              <w:t xml:space="preserve"> del proceso.</w:t>
            </w:r>
            <w:r w:rsidRPr="00A249D1">
              <w:t xml:space="preserve"> </w:t>
            </w:r>
          </w:p>
          <w:p w14:paraId="72A315FE" w14:textId="77777777" w:rsidR="002379C0" w:rsidRPr="003870E7" w:rsidRDefault="002379C0" w:rsidP="00811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314661C8" w14:textId="77777777" w:rsidTr="000E7086">
        <w:trPr>
          <w:trHeight w:val="450"/>
        </w:trPr>
        <w:tc>
          <w:tcPr>
            <w:tcW w:w="10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2D8FD" w14:textId="77777777" w:rsidR="00811988" w:rsidRDefault="00811988" w:rsidP="00811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bookmarkStart w:id="0" w:name="_Hlk530400867"/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lastRenderedPageBreak/>
              <w:t>RIESGOS Y EVALUACIÓN DE CONTROLES:</w:t>
            </w:r>
          </w:p>
          <w:bookmarkEnd w:id="0"/>
          <w:p w14:paraId="3F8B2DD0" w14:textId="77777777" w:rsidR="00262194" w:rsidRPr="006B1309" w:rsidRDefault="00262194" w:rsidP="0069642B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59695E7A" w14:textId="77777777" w:rsidR="006B1309" w:rsidRDefault="006B1309" w:rsidP="0069642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6B130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Al analizar el componente de administración de riesgos del Proceso Gestión de Servicios TIC, como se observa en el </w:t>
            </w:r>
            <w:r w:rsidRPr="006B130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ANEXO 1</w:t>
            </w:r>
            <w:r w:rsidRPr="006B130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 se determinaron las siguientes situaciones:</w:t>
            </w:r>
          </w:p>
          <w:p w14:paraId="3A5A46F6" w14:textId="77777777" w:rsidR="006B1309" w:rsidRDefault="006B1309" w:rsidP="0069642B">
            <w:pPr>
              <w:pStyle w:val="Prrafodelista"/>
              <w:spacing w:after="0" w:line="240" w:lineRule="auto"/>
              <w:ind w:left="492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346120A3" w14:textId="77777777" w:rsidR="0069642B" w:rsidRDefault="0060091C" w:rsidP="0060091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09" w:hanging="209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69642B" w:rsidRPr="0069642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 </w:t>
            </w:r>
            <w:r w:rsidR="00EF7BA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estableció</w:t>
            </w:r>
            <w:r w:rsidR="001353B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que no se han materializado</w:t>
            </w:r>
            <w:r w:rsidR="005276E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riesgos</w:t>
            </w:r>
            <w:r w:rsidR="001353B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en el periodo evaluado</w:t>
            </w:r>
            <w:r w:rsidR="005276E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="001353B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por lo que se considera que los controles han sido efectivos.</w:t>
            </w:r>
          </w:p>
          <w:p w14:paraId="0D2DDBD1" w14:textId="77777777" w:rsidR="0060091C" w:rsidRDefault="0060091C" w:rsidP="0060091C">
            <w:pPr>
              <w:spacing w:after="0" w:line="240" w:lineRule="auto"/>
              <w:ind w:hanging="653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3356A928" w14:textId="77777777" w:rsidR="006B1309" w:rsidRDefault="00E05E66" w:rsidP="00223BA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09" w:hanging="209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Para la implementación del sistema SAP se diseñó una matriz de riesgos</w:t>
            </w:r>
            <w:r w:rsidR="0069642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</w:t>
            </w:r>
            <w:r w:rsidR="0069642B" w:rsidRPr="00BF5AE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de acuerdo con las actividades </w:t>
            </w:r>
            <w:r w:rsidR="000E7086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programadas</w:t>
            </w:r>
            <w:r w:rsidR="0069642B" w:rsidRPr="00BF5AE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en el año 2018,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 observa </w:t>
            </w:r>
            <w:r w:rsidR="00CF6A72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que en los Comités de S</w:t>
            </w:r>
            <w:r w:rsidR="0069642B" w:rsidRPr="00BF5AE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eguimiento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del proyecto</w:t>
            </w:r>
            <w:r w:rsidR="0069642B" w:rsidRPr="00BF5AE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se mencionan </w:t>
            </w:r>
            <w:r w:rsidR="0069642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los </w:t>
            </w:r>
            <w:r w:rsidR="0069642B" w:rsidRPr="00BF5AE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riesgos,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sin embargo, </w:t>
            </w:r>
            <w:r w:rsidR="0069642B" w:rsidRPr="00BF5AE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no se especifica cuáles son las medidas de control para mitigarlos</w:t>
            </w:r>
            <w:r w:rsidR="00CF6A72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así mismo no se realizan los seguimientos periódicos para monitorear los riesgos identificados.</w:t>
            </w:r>
          </w:p>
          <w:p w14:paraId="1EA44145" w14:textId="77777777" w:rsidR="00223BA1" w:rsidRPr="00223BA1" w:rsidRDefault="00223BA1" w:rsidP="00223BA1">
            <w:pPr>
              <w:pStyle w:val="Prrafodelista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1E68B076" w14:textId="77777777" w:rsidR="00EC39B1" w:rsidRPr="00B54E99" w:rsidRDefault="005276E9" w:rsidP="005276E9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09" w:hanging="209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</w:t>
            </w:r>
            <w:r w:rsidR="00223BA1" w:rsidRP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 módulo de SAP HCM-PY (Nómina) se encuentra en la etapa de pruebas unitarias</w:t>
            </w:r>
            <w:r w:rsid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se</w:t>
            </w:r>
            <w:r w:rsid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evidenc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ió</w:t>
            </w:r>
            <w:r w:rsid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un atraso en el cronograma</w:t>
            </w:r>
            <w:r w:rsidR="000E708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ya que según los tiempos establecidos deberían estar en etapa de pruebas integrales</w:t>
            </w:r>
            <w:r w:rsidR="00223BA1" w:rsidRP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este módulo es uno de los más </w:t>
            </w:r>
            <w:r w:rsid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importantes y </w:t>
            </w:r>
            <w:r w:rsidR="00223BA1" w:rsidRP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extensos</w:t>
            </w:r>
            <w:r w:rsid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="00223BA1" w:rsidRP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que</w:t>
            </w:r>
            <w:r w:rsidR="00223BA1" w:rsidRP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permitirá integrar la información del personal de la entidad con los demás módulos de SAP. Lo anterior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genera una</w:t>
            </w:r>
            <w:r w:rsid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posibilidad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mayor </w:t>
            </w:r>
            <w:r w:rsid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de </w:t>
            </w:r>
            <w:r w:rsidR="00223BA1" w:rsidRP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materialización del riesgo</w:t>
            </w:r>
            <w:r w:rsidR="00223BA1" w:rsidRP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: </w:t>
            </w:r>
            <w:r w:rsidR="00CB15C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“</w:t>
            </w:r>
            <w:r w:rsidR="00223BA1" w:rsidRPr="00CB15CF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>El software desarrollado o adquirido del MEN no entrega los resultados esperados</w:t>
            </w:r>
            <w:r w:rsidR="00CB15CF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>”</w:t>
            </w:r>
            <w:r w:rsidR="00223BA1" w:rsidRPr="00CF6A7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>,</w:t>
            </w:r>
            <w:r w:rsidR="00223BA1" w:rsidRPr="008A2B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r w:rsidR="001353B6" w:rsidRPr="001353B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considerado</w:t>
            </w:r>
            <w:r w:rsidR="001353B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en la matriz de riesgos del </w:t>
            </w:r>
            <w:r w:rsidR="001353B6" w:rsidRPr="006B130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Proceso Gestión de Servicios TIC</w:t>
            </w:r>
            <w:r w:rsidR="001353B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</w:t>
            </w:r>
            <w:r w:rsidR="00223BA1" w:rsidRP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ya que al no obtener los resultados de la implementación del módulo HCM-PY de SAP se puede </w:t>
            </w:r>
            <w:r w:rsidR="001353B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presentar</w:t>
            </w:r>
            <w:r w:rsidR="00223BA1" w:rsidRP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el efecto del riesgo: </w:t>
            </w:r>
            <w:r w:rsidR="00223BA1" w:rsidRPr="00CF6A7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>Entregable no conforme con el requerimiento y un posible Detrimento Patrimonial</w:t>
            </w:r>
            <w:r w:rsidR="00223BA1" w:rsidRPr="008A2BD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.</w:t>
            </w:r>
          </w:p>
        </w:tc>
      </w:tr>
      <w:tr w:rsidR="003870E7" w:rsidRPr="003870E7" w14:paraId="55276171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F0FF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324F1E6D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2129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144F82DD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1118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575C47E1" w14:textId="77777777" w:rsidTr="000E7086">
        <w:trPr>
          <w:trHeight w:val="3968"/>
        </w:trPr>
        <w:tc>
          <w:tcPr>
            <w:tcW w:w="10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1427" w14:textId="77777777" w:rsidR="00690661" w:rsidRDefault="003870E7" w:rsidP="006906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bookmarkStart w:id="1" w:name="_Hlk530400852"/>
            <w:r w:rsidRPr="00F70CB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PLANES, PROGRAMAS</w:t>
            </w:r>
            <w:r w:rsidR="005E7B7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,</w:t>
            </w:r>
            <w:r w:rsidRPr="00F70CB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PROYECTOS E INDICADORES:</w:t>
            </w:r>
            <w:bookmarkEnd w:id="1"/>
          </w:p>
          <w:p w14:paraId="6C7DFB06" w14:textId="77777777" w:rsidR="00690661" w:rsidRDefault="00690661" w:rsidP="006906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381413BC" w14:textId="77777777" w:rsidR="007C433D" w:rsidRPr="00990BC4" w:rsidRDefault="00990BC4" w:rsidP="006906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Revisado el P</w:t>
            </w:r>
            <w:r w:rsidR="007A7BEF" w:rsidRPr="00300C2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lan de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</w:t>
            </w:r>
            <w:r w:rsidR="007A7BEF" w:rsidRPr="00300C2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cción del proceso Gestión de Servicios TIC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="007A7BEF" w:rsidRPr="00300C2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con corte a agosto de 2018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="007A7BEF" w:rsidRPr="00300C2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ver </w:t>
            </w:r>
            <w:r w:rsidR="007A7BEF" w:rsidRPr="002379C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ANEXO</w:t>
            </w:r>
            <w:r w:rsidR="002379C0" w:rsidRPr="002379C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2; </w:t>
            </w:r>
            <w:r w:rsidRPr="00990BC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s</w:t>
            </w:r>
            <w:r w:rsidR="007A7BEF" w:rsidRPr="00990BC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 observó que se monitorea</w:t>
            </w:r>
            <w:r w:rsidR="005E7B7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n</w:t>
            </w:r>
            <w:r w:rsidR="007A7BEF" w:rsidRPr="00990BC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las metas y se realiza mejora continua a los procedimientos internos de la OTSI.</w:t>
            </w:r>
          </w:p>
          <w:p w14:paraId="7545E531" w14:textId="77777777" w:rsidR="007A7BEF" w:rsidRDefault="007A7BEF" w:rsidP="007A7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15767719" w14:textId="77777777" w:rsidR="007314FC" w:rsidRDefault="00300C2E" w:rsidP="007314F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</w:t>
            </w:r>
            <w:r w:rsidR="007314F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ara las actividades enfocadas a </w:t>
            </w:r>
            <w:r w:rsidR="007314FC" w:rsidRPr="007314F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Estabilizació</w:t>
            </w:r>
            <w:r w:rsidR="00990BC4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n de la implementación fase II S</w:t>
            </w:r>
            <w:r w:rsidR="007314FC" w:rsidRPr="007314F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istema SAP</w:t>
            </w:r>
            <w:r w:rsidR="009520D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</w:t>
            </w:r>
            <w:r w:rsidR="009520DB" w:rsidRPr="00972F7A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Avanzar Fase II SAP (NICSP, Estructuras SIIF, Reportes Cuentas por Pagar, Nómina)</w:t>
            </w:r>
            <w:r w:rsidR="007314F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 se encontró lo siguiente:</w:t>
            </w:r>
          </w:p>
          <w:p w14:paraId="7CC3BBF1" w14:textId="77777777" w:rsidR="007314FC" w:rsidRDefault="007314FC" w:rsidP="007314F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7C0DFFCA" w14:textId="77777777" w:rsidR="007314FC" w:rsidRDefault="00CB2353" w:rsidP="0069066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209" w:hanging="209"/>
              <w:jc w:val="both"/>
            </w:pPr>
            <w:r w:rsidRPr="00CB235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El MEN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suscribió el </w:t>
            </w:r>
            <w:r w:rsidR="005E7B7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ontrato 1370 de 2017 cuyo objeto es </w:t>
            </w:r>
            <w:r w:rsidRPr="005E7B7E">
              <w:rPr>
                <w:rFonts w:ascii="Calibri" w:eastAsia="Times New Roman" w:hAnsi="Calibri" w:cs="Calibri"/>
                <w:bCs/>
                <w:i/>
                <w:color w:val="000000"/>
                <w:lang w:eastAsia="es-CO"/>
              </w:rPr>
              <w:t>“Realizar la implementación del ERP-SAP para los procesos de nómina (PY), procesos financieros (NICSP) del MEN</w:t>
            </w:r>
            <w:r w:rsidR="00824E5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”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</w:t>
            </w:r>
            <w:r w:rsidR="006F350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a la fecha,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 han realizado </w:t>
            </w:r>
            <w:r w:rsidR="005E7B7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dos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10384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pr</w:t>
            </w:r>
            <w:r w:rsidR="005E7B7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ó</w:t>
            </w:r>
            <w:r w:rsidR="0010384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r</w:t>
            </w:r>
            <w:r w:rsidR="006D4A0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r</w:t>
            </w:r>
            <w:r w:rsidR="0010384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ogas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10384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y </w:t>
            </w:r>
            <w:r w:rsidR="005E7B7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una</w:t>
            </w:r>
            <w:r w:rsidR="0010384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adición</w:t>
            </w:r>
            <w:r w:rsidR="00690661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="0010384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824E5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de a</w:t>
            </w:r>
            <w:r w:rsidR="001147E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cuerdo a la revisión que realizó</w:t>
            </w:r>
            <w:r w:rsidR="00824E5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Pr="00690661">
              <w:t xml:space="preserve">la consultoría </w:t>
            </w:r>
            <w:r w:rsidR="00690661" w:rsidRPr="00690661">
              <w:t xml:space="preserve">EPI USE Colombia </w:t>
            </w:r>
            <w:r w:rsidR="00F151B7" w:rsidRPr="00690661">
              <w:t xml:space="preserve">contratada </w:t>
            </w:r>
            <w:r w:rsidR="00690661" w:rsidRPr="00690661">
              <w:t>por INFOTIC</w:t>
            </w:r>
            <w:r w:rsidR="00690661">
              <w:t xml:space="preserve"> </w:t>
            </w:r>
            <w:r w:rsidR="00824E5A">
              <w:t xml:space="preserve">a </w:t>
            </w:r>
            <w:r>
              <w:t>los procesos internos del MEN</w:t>
            </w:r>
            <w:r w:rsidR="005E7B7E">
              <w:t>,</w:t>
            </w:r>
            <w:r>
              <w:t xml:space="preserve"> </w:t>
            </w:r>
            <w:r w:rsidR="00824E5A">
              <w:t xml:space="preserve">se  determinó </w:t>
            </w:r>
            <w:r>
              <w:t xml:space="preserve">que era necesario adelantar </w:t>
            </w:r>
            <w:r w:rsidR="00824E5A">
              <w:t>desarrollos a la medida del MEN</w:t>
            </w:r>
            <w:r w:rsidR="00990BC4">
              <w:t>,</w:t>
            </w:r>
            <w:r w:rsidR="00824E5A">
              <w:t xml:space="preserve"> </w:t>
            </w:r>
            <w:r w:rsidR="006F350A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por lo que surgieron varios requerimientos adicionales, </w:t>
            </w:r>
            <w:r w:rsidR="006F350A">
              <w:t>documentados</w:t>
            </w:r>
            <w:r w:rsidR="0010384B">
              <w:t xml:space="preserve"> en</w:t>
            </w:r>
            <w:r>
              <w:t xml:space="preserve"> </w:t>
            </w:r>
            <w:r w:rsidR="00824E5A">
              <w:t xml:space="preserve">los </w:t>
            </w:r>
            <w:r>
              <w:t>BBP (Business BluepRint -Plan de Negocios)</w:t>
            </w:r>
            <w:r w:rsidR="00824E5A">
              <w:t>,</w:t>
            </w:r>
            <w:r>
              <w:t xml:space="preserve"> estos desarrollos se han realizado en la </w:t>
            </w:r>
            <w:r w:rsidR="00824E5A">
              <w:t>plataforma</w:t>
            </w:r>
            <w:r>
              <w:t xml:space="preserve"> SAP </w:t>
            </w:r>
            <w:r w:rsidR="0010384B">
              <w:t>y son</w:t>
            </w:r>
            <w:r>
              <w:t xml:space="preserve"> </w:t>
            </w:r>
            <w:r w:rsidR="00824E5A">
              <w:t>propiedad</w:t>
            </w:r>
            <w:r>
              <w:t xml:space="preserve"> del Ministerio.</w:t>
            </w:r>
          </w:p>
          <w:p w14:paraId="401AD04F" w14:textId="77777777" w:rsidR="00690661" w:rsidRDefault="00690661" w:rsidP="00690661">
            <w:pPr>
              <w:pStyle w:val="Prrafodelista"/>
              <w:spacing w:after="0" w:line="240" w:lineRule="auto"/>
              <w:ind w:left="209"/>
              <w:jc w:val="both"/>
            </w:pPr>
          </w:p>
          <w:p w14:paraId="5FB63E24" w14:textId="77777777" w:rsidR="00990BC4" w:rsidRDefault="00990BC4" w:rsidP="0069066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209" w:hanging="209"/>
              <w:jc w:val="both"/>
            </w:pPr>
            <w:r>
              <w:t>E</w:t>
            </w:r>
            <w:r w:rsidR="00EB37F3" w:rsidRPr="00300C2E">
              <w:t xml:space="preserve">l avance </w:t>
            </w:r>
            <w:r w:rsidR="00EB37F3" w:rsidRPr="008F5FD2">
              <w:t>en la etapa de</w:t>
            </w:r>
            <w:r w:rsidR="00EB37F3" w:rsidRPr="00300C2E">
              <w:t xml:space="preserve"> estabilización de los módulos de la Subdirección </w:t>
            </w:r>
            <w:r w:rsidR="005E7B7E">
              <w:t xml:space="preserve">de Gestión </w:t>
            </w:r>
            <w:r w:rsidR="00EB37F3" w:rsidRPr="00300C2E">
              <w:t xml:space="preserve">Administrativa AA (activo fijo) y MM (gestión de materiales) y para </w:t>
            </w:r>
            <w:r w:rsidR="00BA17F1" w:rsidRPr="00300C2E">
              <w:t>la S</w:t>
            </w:r>
            <w:r w:rsidR="00EB37F3" w:rsidRPr="00300C2E">
              <w:t xml:space="preserve">ubdirección </w:t>
            </w:r>
            <w:r w:rsidR="005E7B7E">
              <w:t xml:space="preserve">de Gestión </w:t>
            </w:r>
            <w:r w:rsidR="00EB37F3" w:rsidRPr="00300C2E">
              <w:t>Financiera</w:t>
            </w:r>
            <w:r w:rsidR="00BA17F1" w:rsidRPr="00300C2E">
              <w:t xml:space="preserve"> del módulo</w:t>
            </w:r>
            <w:r w:rsidR="00EB37F3" w:rsidRPr="00300C2E">
              <w:t xml:space="preserve"> NICSP (</w:t>
            </w:r>
            <w:r w:rsidR="00BA17F1" w:rsidRPr="00300C2E">
              <w:t>Normas Internacionales de Contabilidad del Sector Públic</w:t>
            </w:r>
            <w:r w:rsidR="005E7B7E">
              <w:t>o</w:t>
            </w:r>
            <w:r w:rsidR="00BA17F1" w:rsidRPr="00300C2E">
              <w:t>)</w:t>
            </w:r>
            <w:r w:rsidR="00EB37F3" w:rsidRPr="00300C2E">
              <w:t xml:space="preserve">, </w:t>
            </w:r>
            <w:r w:rsidR="009520DB">
              <w:t xml:space="preserve">se </w:t>
            </w:r>
            <w:r w:rsidR="009520DB" w:rsidRPr="008F5FD2">
              <w:t xml:space="preserve">encuentra en </w:t>
            </w:r>
            <w:r w:rsidR="009520DB">
              <w:t>preparación para la salida en vivo.</w:t>
            </w:r>
          </w:p>
          <w:p w14:paraId="6D7AC3F1" w14:textId="77777777" w:rsidR="00690661" w:rsidRDefault="00690661" w:rsidP="00690661">
            <w:pPr>
              <w:pStyle w:val="Prrafodelista"/>
            </w:pPr>
          </w:p>
          <w:p w14:paraId="19BBDEBA" w14:textId="77777777" w:rsidR="007314FC" w:rsidRPr="00DB4742" w:rsidRDefault="009520DB" w:rsidP="006D4A07">
            <w:pPr>
              <w:spacing w:line="240" w:lineRule="auto"/>
              <w:ind w:left="209" w:hanging="209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68585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3. </w:t>
            </w:r>
            <w:r w:rsidR="00690222" w:rsidRPr="0068585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El </w:t>
            </w:r>
            <w:r w:rsidR="0077792E" w:rsidRPr="0068585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módulo HCM-PY (Nómina) </w:t>
            </w:r>
            <w:r w:rsidR="00690222" w:rsidRPr="0068585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 encuentra </w:t>
            </w:r>
            <w:r w:rsidR="00EB37F3" w:rsidRPr="0068585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en la etapa </w:t>
            </w:r>
            <w:r w:rsidR="00690222" w:rsidRPr="0068585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de pruebas unitarias</w:t>
            </w:r>
            <w:r w:rsidR="00191F33" w:rsidRPr="0068585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</w:t>
            </w:r>
            <w:r w:rsidRPr="0068585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 observa que aún no se han realizado las pruebas integrales del </w:t>
            </w:r>
            <w:r w:rsidR="00685850" w:rsidRPr="0068585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sistema, </w:t>
            </w:r>
            <w:r w:rsidR="0068585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</w:t>
            </w:r>
            <w:r w:rsidR="00685850" w:rsidRPr="0068585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efinición</w:t>
            </w:r>
            <w:r w:rsidR="00685850" w:rsidRPr="00685850">
              <w:rPr>
                <w:rFonts w:ascii="Calibri" w:eastAsia="Times New Roman" w:hAnsi="Calibri" w:cs="Calibri"/>
                <w:bCs/>
                <w:color w:val="000000"/>
                <w:lang w:val="es-ES" w:eastAsia="es-CO"/>
              </w:rPr>
              <w:t xml:space="preserve"> de los roles y perfiles de usuarios</w:t>
            </w:r>
            <w:r w:rsidR="00685850">
              <w:rPr>
                <w:rFonts w:ascii="Calibri" w:eastAsia="Times New Roman" w:hAnsi="Calibri" w:cs="Calibri"/>
                <w:bCs/>
                <w:color w:val="000000"/>
                <w:lang w:val="es-ES" w:eastAsia="es-CO"/>
              </w:rPr>
              <w:t>,</w:t>
            </w:r>
            <w:r w:rsidR="00685850" w:rsidRPr="00685850">
              <w:rPr>
                <w:rFonts w:ascii="Calibri" w:eastAsia="Times New Roman" w:hAnsi="Calibri" w:cs="Calibri"/>
                <w:bCs/>
                <w:color w:val="000000"/>
                <w:lang w:val="es-ES" w:eastAsia="es-CO"/>
              </w:rPr>
              <w:t xml:space="preserve"> </w:t>
            </w:r>
            <w:r w:rsidR="00685850">
              <w:rPr>
                <w:rFonts w:ascii="Calibri" w:eastAsia="Times New Roman" w:hAnsi="Calibri" w:cs="Calibri"/>
                <w:bCs/>
                <w:color w:val="000000"/>
                <w:lang w:val="es-ES" w:eastAsia="es-CO"/>
              </w:rPr>
              <w:t>el</w:t>
            </w:r>
            <w:r w:rsidR="00685850" w:rsidRPr="00685850">
              <w:rPr>
                <w:rFonts w:ascii="Calibri" w:eastAsia="Times New Roman" w:hAnsi="Calibri" w:cs="Calibri"/>
                <w:bCs/>
                <w:color w:val="000000"/>
                <w:lang w:val="es-ES" w:eastAsia="es-CO"/>
              </w:rPr>
              <w:t xml:space="preserve">aboración de </w:t>
            </w:r>
            <w:r w:rsidR="00685850" w:rsidRPr="00685850">
              <w:rPr>
                <w:rFonts w:ascii="Calibri" w:eastAsia="Times New Roman" w:hAnsi="Calibri" w:cs="Calibri"/>
                <w:bCs/>
                <w:color w:val="000000"/>
                <w:lang w:val="es-ES" w:eastAsia="es-CO"/>
              </w:rPr>
              <w:lastRenderedPageBreak/>
              <w:t xml:space="preserve">Manuales de </w:t>
            </w:r>
            <w:r w:rsidR="005E7B7E">
              <w:rPr>
                <w:rFonts w:ascii="Calibri" w:eastAsia="Times New Roman" w:hAnsi="Calibri" w:cs="Calibri"/>
                <w:bCs/>
                <w:color w:val="000000"/>
                <w:lang w:val="es-ES" w:eastAsia="es-CO"/>
              </w:rPr>
              <w:t>U</w:t>
            </w:r>
            <w:r w:rsidR="00685850" w:rsidRPr="00685850">
              <w:rPr>
                <w:rFonts w:ascii="Calibri" w:eastAsia="Times New Roman" w:hAnsi="Calibri" w:cs="Calibri"/>
                <w:bCs/>
                <w:color w:val="000000"/>
                <w:lang w:val="es-ES" w:eastAsia="es-CO"/>
              </w:rPr>
              <w:t>suario</w:t>
            </w:r>
            <w:r w:rsidR="00685850">
              <w:rPr>
                <w:rFonts w:ascii="Calibri" w:eastAsia="Times New Roman" w:hAnsi="Calibri" w:cs="Calibri"/>
                <w:bCs/>
                <w:color w:val="000000"/>
                <w:lang w:val="es-ES" w:eastAsia="es-CO"/>
              </w:rPr>
              <w:t xml:space="preserve">, </w:t>
            </w:r>
            <w:r w:rsidR="00685850" w:rsidRPr="00685850">
              <w:rPr>
                <w:rFonts w:ascii="Calibri" w:eastAsia="Times New Roman" w:hAnsi="Calibri" w:cs="Calibri"/>
                <w:bCs/>
                <w:color w:val="000000"/>
              </w:rPr>
              <w:t>migración de datos (Data maestra final)</w:t>
            </w:r>
            <w:r w:rsidR="00685850">
              <w:rPr>
                <w:rFonts w:ascii="Calibri" w:eastAsia="Times New Roman" w:hAnsi="Calibri" w:cs="Calibri"/>
                <w:bCs/>
                <w:color w:val="000000"/>
              </w:rPr>
              <w:t>, mantenimientos preventivos, capacitación a usuarios finales, plan estratégico, salida a producción, documentar procesos y procedimientos.</w:t>
            </w:r>
          </w:p>
        </w:tc>
      </w:tr>
      <w:tr w:rsidR="002B1BC1" w:rsidRPr="003870E7" w14:paraId="19C519A6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E796E" w14:textId="77777777" w:rsidR="002B1BC1" w:rsidRPr="003870E7" w:rsidRDefault="002B1BC1" w:rsidP="007C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2B1BC1" w:rsidRPr="003870E7" w14:paraId="7579488E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5C0FC" w14:textId="77777777" w:rsidR="002B1BC1" w:rsidRPr="003870E7" w:rsidRDefault="002B1BC1" w:rsidP="007C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F24AF" w:rsidRPr="003870E7" w14:paraId="0776F901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5497" w14:textId="77777777" w:rsidR="003F24AF" w:rsidRPr="003870E7" w:rsidRDefault="003F24AF" w:rsidP="007C4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503280F1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4E29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0076CBD9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75BE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38FFCC18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04CB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F24AF" w:rsidRPr="003870E7" w14:paraId="79243237" w14:textId="77777777" w:rsidTr="000E7086">
        <w:trPr>
          <w:trHeight w:val="1358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58CAF" w14:textId="77777777" w:rsidR="003F24AF" w:rsidRPr="001D78DF" w:rsidRDefault="003F24AF" w:rsidP="003F24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1D78DF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MECANISMOS DE SEGUIMIENTO Y AUTOEVALUACIÓN</w:t>
            </w:r>
          </w:p>
          <w:p w14:paraId="2F32F8DB" w14:textId="77777777" w:rsidR="006D4A07" w:rsidRDefault="006D4A07" w:rsidP="00685850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es-CO"/>
              </w:rPr>
            </w:pPr>
          </w:p>
          <w:p w14:paraId="5181B6E2" w14:textId="77777777" w:rsidR="000C1307" w:rsidRDefault="007924AE" w:rsidP="00685850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lang w:eastAsia="es-CO"/>
              </w:rPr>
              <w:t>S</w:t>
            </w:r>
            <w:r w:rsidR="00C32724" w:rsidRPr="00C32724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e realizan </w:t>
            </w:r>
            <w:r w:rsidR="00C32724" w:rsidRPr="008F5FD2">
              <w:rPr>
                <w:rFonts w:eastAsia="Times New Roman" w:cstheme="minorHAnsi"/>
                <w:bCs/>
                <w:color w:val="000000"/>
                <w:lang w:eastAsia="es-CO"/>
              </w:rPr>
              <w:t>comités</w:t>
            </w:r>
            <w:r w:rsidR="008F5FD2" w:rsidRPr="008F5FD2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internos</w:t>
            </w:r>
            <w:r w:rsidR="00C32724" w:rsidRPr="008F5FD2">
              <w:rPr>
                <w:rFonts w:eastAsia="Times New Roman" w:cstheme="minorHAnsi"/>
                <w:bCs/>
                <w:color w:val="000000"/>
                <w:lang w:eastAsia="es-CO"/>
              </w:rPr>
              <w:t>, con</w:t>
            </w:r>
            <w:r w:rsidR="00C32724" w:rsidRPr="00C32724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el fin de planear y hacer seguimiento a las diferentes actividades del proceso permitiendo establecer las acciones correspondientes para el 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cumplimiento de los objetivos, dejando actas de los temas tratados.</w:t>
            </w:r>
          </w:p>
          <w:p w14:paraId="7851E752" w14:textId="77777777" w:rsidR="006D4A07" w:rsidRPr="001D78DF" w:rsidRDefault="006D4A07" w:rsidP="006858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F24AF" w:rsidRPr="003870E7" w14:paraId="06988D95" w14:textId="77777777" w:rsidTr="000E7086">
        <w:trPr>
          <w:trHeight w:val="1314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76AE0" w14:textId="77777777" w:rsidR="00811988" w:rsidRDefault="00811988" w:rsidP="00811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PARTICIPACION CIUDADANA</w:t>
            </w:r>
          </w:p>
          <w:p w14:paraId="3DBC202A" w14:textId="77777777" w:rsidR="00685850" w:rsidRDefault="00685850" w:rsidP="0068585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s-CO"/>
              </w:rPr>
            </w:pPr>
          </w:p>
          <w:p w14:paraId="752AD0C8" w14:textId="77777777" w:rsidR="006D4A07" w:rsidRPr="001D78DF" w:rsidRDefault="00A50CA9" w:rsidP="00A62AA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lang w:eastAsia="es-CO"/>
              </w:rPr>
              <w:t>L</w:t>
            </w:r>
            <w:r w:rsidR="00EA4A4E" w:rsidRPr="00EA4A4E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a utilización de tecnologías por parte del Ministerio de Educación Nacional 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garantiza</w:t>
            </w:r>
            <w:r w:rsidR="00EA4A4E" w:rsidRPr="00EA4A4E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que el ciudadano diariamente cuente con información institucional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y </w:t>
            </w:r>
            <w:r w:rsidR="00EA4A4E" w:rsidRPr="00EA4A4E">
              <w:rPr>
                <w:rFonts w:eastAsia="Times New Roman" w:cstheme="minorHAnsi"/>
                <w:bCs/>
                <w:color w:val="000000"/>
                <w:lang w:eastAsia="es-CO"/>
              </w:rPr>
              <w:t>facilita la participación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 xml:space="preserve">, </w:t>
            </w:r>
            <w:r w:rsidR="00341831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la OTSI apoya esta gestión 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 xml:space="preserve">por medio de herramientas como la página WEB, </w:t>
            </w:r>
            <w:r w:rsidR="00341831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la implementación del sitio para radicación de </w:t>
            </w:r>
            <w:r w:rsidR="007924AE">
              <w:rPr>
                <w:rFonts w:eastAsia="Times New Roman" w:cstheme="minorHAnsi"/>
                <w:bCs/>
                <w:color w:val="000000"/>
                <w:lang w:eastAsia="es-CO"/>
              </w:rPr>
              <w:t>Peticiones, Q</w:t>
            </w:r>
            <w:r w:rsidR="00341831" w:rsidRPr="00341831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uejas, </w:t>
            </w:r>
            <w:r w:rsidR="007924AE">
              <w:rPr>
                <w:rFonts w:eastAsia="Times New Roman" w:cstheme="minorHAnsi"/>
                <w:bCs/>
                <w:color w:val="000000"/>
                <w:lang w:eastAsia="es-CO"/>
              </w:rPr>
              <w:t>Reclamos, Sugerencias y D</w:t>
            </w:r>
            <w:r w:rsidR="00341831" w:rsidRPr="00341831">
              <w:rPr>
                <w:rFonts w:eastAsia="Times New Roman" w:cstheme="minorHAnsi"/>
                <w:bCs/>
                <w:color w:val="000000"/>
                <w:lang w:eastAsia="es-CO"/>
              </w:rPr>
              <w:t>enuncias,</w:t>
            </w:r>
            <w:r w:rsidR="00341831">
              <w:rPr>
                <w:rFonts w:ascii="Arial" w:hAnsi="Arial" w:cs="Arial"/>
                <w:color w:val="43535B"/>
                <w:shd w:val="clear" w:color="auto" w:fill="FFFFFF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disponibilidad</w:t>
            </w:r>
            <w:r w:rsidR="00A62AAC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</w:t>
            </w:r>
            <w:r w:rsidR="009C1314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tecnológica 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de chat (A</w:t>
            </w:r>
            <w:r w:rsidRPr="00A50CA9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tención al 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C</w:t>
            </w:r>
            <w:r w:rsidRPr="00A50CA9">
              <w:rPr>
                <w:rFonts w:eastAsia="Times New Roman" w:cstheme="minorHAnsi"/>
                <w:bCs/>
                <w:color w:val="000000"/>
                <w:lang w:eastAsia="es-CO"/>
              </w:rPr>
              <w:t>iudadano</w:t>
            </w:r>
            <w:r w:rsidRPr="004D4EBB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, </w:t>
            </w:r>
            <w:r w:rsidR="004D4EBB" w:rsidRPr="004D4EBB">
              <w:rPr>
                <w:rFonts w:eastAsia="Times New Roman" w:cstheme="minorHAnsi"/>
                <w:bCs/>
                <w:color w:val="000000"/>
                <w:lang w:eastAsia="es-CO"/>
              </w:rPr>
              <w:t>Portal Colombia Aprende</w:t>
            </w:r>
            <w:r w:rsidRPr="004D4EBB">
              <w:rPr>
                <w:rFonts w:eastAsia="Times New Roman" w:cstheme="minorHAnsi"/>
                <w:bCs/>
                <w:color w:val="000000"/>
                <w:lang w:eastAsia="es-CO"/>
              </w:rPr>
              <w:t>)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estos canales permiten la </w:t>
            </w:r>
            <w:r w:rsidRPr="00A50CA9">
              <w:rPr>
                <w:rFonts w:eastAsia="Times New Roman" w:cstheme="minorHAnsi"/>
                <w:bCs/>
                <w:color w:val="000000"/>
                <w:lang w:eastAsia="es-CO"/>
              </w:rPr>
              <w:t>comunicación instantánea entre los ciudadanos,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  <w:r w:rsidRPr="00A50CA9">
              <w:rPr>
                <w:rFonts w:eastAsia="Times New Roman" w:cstheme="minorHAnsi"/>
                <w:bCs/>
                <w:color w:val="000000"/>
                <w:lang w:eastAsia="es-CO"/>
              </w:rPr>
              <w:t>maestros, directivos docentes y el Ministerio de Educación Nacional a través de Internet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.</w:t>
            </w:r>
          </w:p>
        </w:tc>
      </w:tr>
      <w:tr w:rsidR="00ED02B9" w:rsidRPr="003870E7" w14:paraId="7E20E5A4" w14:textId="77777777" w:rsidTr="000E7086">
        <w:trPr>
          <w:trHeight w:val="1314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4999" w14:textId="77777777" w:rsidR="00ED02B9" w:rsidRDefault="00ED02B9" w:rsidP="00811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PROCESO CONTRATACIÓN</w:t>
            </w:r>
          </w:p>
          <w:p w14:paraId="2C203C76" w14:textId="77777777" w:rsidR="000038B4" w:rsidRDefault="000038B4" w:rsidP="00811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6BBC5873" w14:textId="77777777" w:rsidR="000038B4" w:rsidRDefault="000038B4" w:rsidP="0068585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F16EF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Al revisar los contratos a cargo de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la Oficina de Tecnología y Sistemas de Información</w:t>
            </w:r>
            <w:r w:rsidRPr="00F16EF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</w:t>
            </w:r>
            <w:r w:rsidR="007924A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 encontraron 14 </w:t>
            </w:r>
            <w:r w:rsidR="00D0119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de 2018, de los cuales se tomó una muestra equivalente a 9 contratos y se incluyó </w:t>
            </w:r>
            <w:r w:rsidR="005E7B7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uno</w:t>
            </w:r>
            <w:r w:rsidR="00D0119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 2017 para un total de 10, </w:t>
            </w:r>
            <w:r w:rsidR="00DE6B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ver </w:t>
            </w:r>
            <w:r w:rsidR="00D36C6B" w:rsidRPr="00DE6B5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ANEXO 3</w:t>
            </w:r>
            <w:r w:rsidR="00D0119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 donde</w:t>
            </w:r>
            <w:r w:rsidRPr="00F16EF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se evidencia los siguiente:</w:t>
            </w:r>
          </w:p>
          <w:p w14:paraId="339A2EF6" w14:textId="77777777" w:rsidR="00903C73" w:rsidRPr="00A05C75" w:rsidRDefault="00903C73" w:rsidP="00903C73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3D085E85" w14:textId="77777777" w:rsidR="00903C73" w:rsidRPr="00690661" w:rsidRDefault="00796E3A" w:rsidP="00C849CC">
            <w:pPr>
              <w:pStyle w:val="Prrafodelista"/>
              <w:numPr>
                <w:ilvl w:val="1"/>
                <w:numId w:val="18"/>
              </w:numPr>
              <w:tabs>
                <w:tab w:val="clear" w:pos="1440"/>
                <w:tab w:val="left" w:pos="351"/>
              </w:tabs>
              <w:spacing w:after="0" w:line="240" w:lineRule="auto"/>
              <w:ind w:left="209" w:hanging="209"/>
              <w:jc w:val="both"/>
              <w:rPr>
                <w:rFonts w:ascii="Calibri" w:eastAsia="Times New Roman" w:hAnsi="Calibri" w:cs="Calibri"/>
                <w:bCs/>
                <w:lang w:eastAsia="es-CO"/>
              </w:rPr>
            </w:pPr>
            <w:r w:rsidRPr="006F350A">
              <w:rPr>
                <w:rFonts w:ascii="Calibri" w:eastAsia="Times New Roman" w:hAnsi="Calibri" w:cs="Calibri"/>
                <w:bCs/>
                <w:lang w:eastAsia="es-CO"/>
              </w:rPr>
              <w:t xml:space="preserve">En el respectivo expediente de </w:t>
            </w:r>
            <w:r w:rsidR="00FC010E" w:rsidRPr="006F350A">
              <w:rPr>
                <w:rFonts w:ascii="Calibri" w:eastAsia="Times New Roman" w:hAnsi="Calibri" w:cs="Calibri"/>
                <w:bCs/>
                <w:lang w:eastAsia="es-CO"/>
              </w:rPr>
              <w:t>los</w:t>
            </w:r>
            <w:r w:rsidRPr="006F350A">
              <w:rPr>
                <w:rFonts w:ascii="Calibri" w:eastAsia="Times New Roman" w:hAnsi="Calibri" w:cs="Calibri"/>
                <w:bCs/>
                <w:lang w:eastAsia="es-CO"/>
              </w:rPr>
              <w:t xml:space="preserve"> contratos</w:t>
            </w:r>
            <w:r w:rsidR="00903C73" w:rsidRPr="006F350A">
              <w:rPr>
                <w:rFonts w:ascii="Calibri" w:eastAsia="Times New Roman" w:hAnsi="Calibri" w:cs="Calibri"/>
                <w:bCs/>
                <w:lang w:eastAsia="es-CO"/>
              </w:rPr>
              <w:t>:</w:t>
            </w:r>
            <w:r w:rsidRPr="006F350A">
              <w:rPr>
                <w:rFonts w:ascii="Calibri" w:eastAsia="Times New Roman" w:hAnsi="Calibri" w:cs="Calibri"/>
                <w:bCs/>
                <w:lang w:eastAsia="es-CO"/>
              </w:rPr>
              <w:t xml:space="preserve"> </w:t>
            </w:r>
            <w:r w:rsidR="00FC010E" w:rsidRPr="006F350A">
              <w:rPr>
                <w:rFonts w:ascii="Calibri" w:eastAsia="Times New Roman" w:hAnsi="Calibri" w:cs="Calibri"/>
                <w:bCs/>
                <w:lang w:eastAsia="es-CO"/>
              </w:rPr>
              <w:t xml:space="preserve">751, 754, 758, y 985 de 2018 </w:t>
            </w:r>
            <w:r w:rsidRPr="006F350A">
              <w:rPr>
                <w:rFonts w:ascii="Calibri" w:eastAsia="Times New Roman" w:hAnsi="Calibri" w:cs="Calibri"/>
                <w:bCs/>
                <w:lang w:eastAsia="es-CO"/>
              </w:rPr>
              <w:t xml:space="preserve">no </w:t>
            </w:r>
            <w:r w:rsidR="0081271E">
              <w:rPr>
                <w:rFonts w:ascii="Calibri" w:eastAsia="Times New Roman" w:hAnsi="Calibri" w:cs="Calibri"/>
                <w:bCs/>
                <w:lang w:eastAsia="es-CO"/>
              </w:rPr>
              <w:t>se encontró</w:t>
            </w:r>
            <w:r w:rsidRPr="006F350A">
              <w:rPr>
                <w:rFonts w:ascii="Calibri" w:eastAsia="Times New Roman" w:hAnsi="Calibri" w:cs="Calibri"/>
                <w:bCs/>
                <w:lang w:eastAsia="es-CO"/>
              </w:rPr>
              <w:t xml:space="preserve"> la documentación que se generó de la ejecución</w:t>
            </w:r>
            <w:r w:rsidR="00903C73" w:rsidRPr="006F350A">
              <w:rPr>
                <w:rFonts w:ascii="Calibri" w:eastAsia="Times New Roman" w:hAnsi="Calibri" w:cs="Calibri"/>
                <w:bCs/>
                <w:lang w:eastAsia="es-CO"/>
              </w:rPr>
              <w:t xml:space="preserve">, </w:t>
            </w:r>
            <w:r w:rsidR="0081271E">
              <w:rPr>
                <w:rFonts w:ascii="Calibri" w:eastAsia="Times New Roman" w:hAnsi="Calibri" w:cs="Calibri"/>
                <w:bCs/>
                <w:lang w:eastAsia="es-CO"/>
              </w:rPr>
              <w:t>como lo indica el Manual de C</w:t>
            </w:r>
            <w:r w:rsidRPr="006F350A">
              <w:rPr>
                <w:rFonts w:ascii="Calibri" w:eastAsia="Times New Roman" w:hAnsi="Calibri" w:cs="Calibri"/>
                <w:bCs/>
                <w:lang w:eastAsia="es-CO"/>
              </w:rPr>
              <w:t>ontratación num</w:t>
            </w:r>
            <w:r w:rsidR="0081271E">
              <w:rPr>
                <w:rFonts w:ascii="Calibri" w:eastAsia="Times New Roman" w:hAnsi="Calibri" w:cs="Calibri"/>
                <w:bCs/>
                <w:lang w:eastAsia="es-CO"/>
              </w:rPr>
              <w:t>eral 8.2 y el procedimiento de Supervisión y/o Interventoría del Contrato o C</w:t>
            </w:r>
            <w:r w:rsidRPr="006F350A">
              <w:rPr>
                <w:rFonts w:ascii="Calibri" w:eastAsia="Times New Roman" w:hAnsi="Calibri" w:cs="Calibri"/>
                <w:bCs/>
                <w:lang w:eastAsia="es-CO"/>
              </w:rPr>
              <w:t>onvenio en las Disposiciones Generales ítem 5</w:t>
            </w:r>
            <w:r w:rsidR="00903C73" w:rsidRPr="006F350A">
              <w:rPr>
                <w:rFonts w:ascii="Calibri" w:eastAsia="Times New Roman" w:hAnsi="Calibri" w:cs="Calibri"/>
                <w:bCs/>
                <w:lang w:eastAsia="es-CO"/>
              </w:rPr>
              <w:t xml:space="preserve">, que indica: </w:t>
            </w:r>
            <w:r w:rsidR="00903C73" w:rsidRPr="0081271E">
              <w:rPr>
                <w:rFonts w:ascii="Calibri" w:eastAsia="Times New Roman" w:hAnsi="Calibri" w:cs="Calibri"/>
                <w:bCs/>
                <w:i/>
                <w:lang w:eastAsia="es-CO"/>
              </w:rPr>
              <w:t>“Toda la documentación que se produzca con ocasión de la ejecución del contrato/convenio, deben reposar en el respectivo expediente y ser publicada en los sistemas de información que soportan la gestión contractual del Ministerio”</w:t>
            </w:r>
          </w:p>
          <w:p w14:paraId="051EF547" w14:textId="77777777" w:rsidR="00690661" w:rsidRPr="006F350A" w:rsidRDefault="00690661" w:rsidP="00690661">
            <w:pPr>
              <w:pStyle w:val="Prrafodelista"/>
              <w:tabs>
                <w:tab w:val="left" w:pos="351"/>
              </w:tabs>
              <w:spacing w:after="0" w:line="240" w:lineRule="auto"/>
              <w:ind w:left="209"/>
              <w:jc w:val="both"/>
              <w:rPr>
                <w:rFonts w:ascii="Calibri" w:eastAsia="Times New Roman" w:hAnsi="Calibri" w:cs="Calibri"/>
                <w:bCs/>
                <w:lang w:eastAsia="es-CO"/>
              </w:rPr>
            </w:pPr>
          </w:p>
          <w:p w14:paraId="0FB459EC" w14:textId="77777777" w:rsidR="00796E3A" w:rsidRDefault="00796E3A" w:rsidP="00903C73">
            <w:pPr>
              <w:pStyle w:val="Prrafodelista"/>
              <w:numPr>
                <w:ilvl w:val="1"/>
                <w:numId w:val="18"/>
              </w:numPr>
              <w:tabs>
                <w:tab w:val="clear" w:pos="1440"/>
              </w:tabs>
              <w:spacing w:after="0" w:line="240" w:lineRule="auto"/>
              <w:ind w:left="209" w:hanging="209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B254C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Incumplimiento del cronograma de ejecución </w:t>
            </w:r>
            <w:r w:rsidRPr="006651B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del </w:t>
            </w:r>
            <w:r w:rsidR="005E7B7E" w:rsidRPr="006651B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</w:t>
            </w:r>
            <w:r w:rsidRPr="006651B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ontrato 772 de 2018</w:t>
            </w:r>
            <w:r w:rsidR="005E7B7E" w:rsidRPr="006651B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cuyo objeto es </w:t>
            </w:r>
            <w:r w:rsidR="006651B9" w:rsidRPr="006651B9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 xml:space="preserve">“Actualización de la plataforma </w:t>
            </w:r>
            <w:proofErr w:type="spellStart"/>
            <w:r w:rsidR="006651B9" w:rsidRPr="006651B9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>Traching</w:t>
            </w:r>
            <w:proofErr w:type="spellEnd"/>
            <w:r w:rsidR="006651B9" w:rsidRPr="006651B9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 xml:space="preserve"> and Management </w:t>
            </w:r>
            <w:proofErr w:type="spellStart"/>
            <w:r w:rsidR="006651B9" w:rsidRPr="006651B9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>System</w:t>
            </w:r>
            <w:proofErr w:type="spellEnd"/>
            <w:r w:rsidR="006651B9" w:rsidRPr="006651B9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 xml:space="preserve">-TMS, soporte, mantenimiento, acompañamiento en sitio, soporte </w:t>
            </w:r>
            <w:proofErr w:type="spellStart"/>
            <w:r w:rsidR="006651B9" w:rsidRPr="006651B9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>standby</w:t>
            </w:r>
            <w:proofErr w:type="spellEnd"/>
            <w:r w:rsidR="006651B9" w:rsidRPr="006651B9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 xml:space="preserve"> y bolsa de horas para desarrollo de requerimientos funcionales, mejoras y capacitación para las aplicaciones que funcionan sobre la plataforma TMS”</w:t>
            </w:r>
            <w:r w:rsidR="006651B9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  <w:t xml:space="preserve">, </w:t>
            </w:r>
            <w:r w:rsidR="006651B9" w:rsidRPr="006651B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lo</w:t>
            </w:r>
            <w:r w:rsidRPr="00B254C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que podría </w:t>
            </w:r>
            <w:r w:rsidR="0081271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generar la </w:t>
            </w:r>
            <w:r w:rsidRPr="00B254C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materializa</w:t>
            </w:r>
            <w:r w:rsidR="0081271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ción</w:t>
            </w:r>
            <w:r w:rsidRPr="00B254C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81271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</w:t>
            </w:r>
            <w:r w:rsidRPr="00B254C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el riesgo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de la no ejecución oportuna del objeto del contrato</w:t>
            </w:r>
            <w:r w:rsidR="006D4A0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6D4A07" w:rsidRPr="006D4A0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y </w:t>
            </w:r>
            <w:r w:rsidR="007B32E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por ende un posible d</w:t>
            </w:r>
            <w:r w:rsidR="006D4A07" w:rsidRPr="006D4A0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etrimento </w:t>
            </w:r>
            <w:r w:rsidR="007B32E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</w:t>
            </w:r>
            <w:r w:rsidR="006D4A07" w:rsidRPr="006D4A0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atrimonial.</w:t>
            </w:r>
          </w:p>
          <w:p w14:paraId="14EA5DE5" w14:textId="77777777" w:rsidR="00903C73" w:rsidRDefault="00903C73" w:rsidP="006906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1079B326" w14:textId="77777777" w:rsidTr="000E7086">
        <w:trPr>
          <w:trHeight w:val="450"/>
        </w:trPr>
        <w:tc>
          <w:tcPr>
            <w:tcW w:w="10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6C168" w14:textId="77777777" w:rsidR="003C5CD5" w:rsidRDefault="001C7334" w:rsidP="0022500F">
            <w:pPr>
              <w:ind w:left="351" w:hanging="35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CONCLUSIONES</w:t>
            </w:r>
          </w:p>
          <w:p w14:paraId="3706A44C" w14:textId="77777777" w:rsidR="00431167" w:rsidRDefault="00D01190" w:rsidP="0022500F">
            <w:pPr>
              <w:pStyle w:val="Prrafodelista"/>
              <w:numPr>
                <w:ilvl w:val="0"/>
                <w:numId w:val="26"/>
              </w:numPr>
              <w:ind w:left="351" w:hanging="351"/>
              <w:jc w:val="both"/>
            </w:pPr>
            <w:r>
              <w:t>El</w:t>
            </w:r>
            <w:r w:rsidR="00B86D26">
              <w:t xml:space="preserve"> Catálogo de Servicios no está acorde</w:t>
            </w:r>
            <w:r w:rsidR="00431167">
              <w:t xml:space="preserve"> con los nuevos lineamientos de</w:t>
            </w:r>
            <w:r w:rsidR="00B86D26">
              <w:t xml:space="preserve"> la estrategia de </w:t>
            </w:r>
            <w:r w:rsidR="00431167">
              <w:t>G</w:t>
            </w:r>
            <w:r w:rsidR="00B86D26">
              <w:t xml:space="preserve">obierno </w:t>
            </w:r>
            <w:r w:rsidR="00431167">
              <w:t>D</w:t>
            </w:r>
            <w:r w:rsidR="00B86D26">
              <w:t xml:space="preserve">igital, sin embargo, </w:t>
            </w:r>
            <w:r>
              <w:t xml:space="preserve">se estableció que </w:t>
            </w:r>
            <w:r w:rsidR="00B86D26">
              <w:t xml:space="preserve">la Oficina de Tecnologías </w:t>
            </w:r>
            <w:r w:rsidR="00431167">
              <w:t xml:space="preserve">y Sistemas </w:t>
            </w:r>
            <w:r w:rsidR="00260237">
              <w:t xml:space="preserve">de Información </w:t>
            </w:r>
            <w:r w:rsidR="00B86D26">
              <w:t xml:space="preserve">está </w:t>
            </w:r>
            <w:r>
              <w:t>actualizándolo;</w:t>
            </w:r>
            <w:r w:rsidR="00B86D26">
              <w:t xml:space="preserve"> así </w:t>
            </w:r>
            <w:r w:rsidR="00B86D26" w:rsidRPr="00660C76">
              <w:t xml:space="preserve">mismo </w:t>
            </w:r>
            <w:r w:rsidR="00660C76" w:rsidRPr="00660C76">
              <w:t>revisando y excluyendo</w:t>
            </w:r>
            <w:r w:rsidR="00B86D26" w:rsidRPr="009B06E9">
              <w:t xml:space="preserve"> los servicios que ya no se utilizan</w:t>
            </w:r>
            <w:r w:rsidR="00B86D26">
              <w:t xml:space="preserve">. </w:t>
            </w:r>
          </w:p>
          <w:p w14:paraId="14D9D892" w14:textId="77777777" w:rsidR="00DB7012" w:rsidRDefault="00DB7012" w:rsidP="0022500F">
            <w:pPr>
              <w:pStyle w:val="Prrafodelista"/>
              <w:ind w:left="351" w:hanging="351"/>
              <w:jc w:val="both"/>
            </w:pPr>
          </w:p>
          <w:p w14:paraId="04560E2B" w14:textId="77777777" w:rsidR="00DB7012" w:rsidRDefault="00F3070A" w:rsidP="00753B4B">
            <w:pPr>
              <w:pStyle w:val="Prrafodelista"/>
              <w:numPr>
                <w:ilvl w:val="0"/>
                <w:numId w:val="26"/>
              </w:numPr>
              <w:ind w:left="351" w:hanging="351"/>
              <w:jc w:val="both"/>
            </w:pPr>
            <w:r>
              <w:t>El formato</w:t>
            </w:r>
            <w:r w:rsidRPr="00F3070A">
              <w:t xml:space="preserve"> matriz de catálogo de servicios TI</w:t>
            </w:r>
            <w:r w:rsidR="00741D6B">
              <w:t xml:space="preserve"> utilizado se encontró</w:t>
            </w:r>
            <w:r w:rsidR="00431167">
              <w:t xml:space="preserve"> codificado como ST-FT-09, sin embargo, </w:t>
            </w:r>
            <w:r w:rsidR="00741D6B">
              <w:t xml:space="preserve">verificado </w:t>
            </w:r>
            <w:r w:rsidR="00431167">
              <w:t xml:space="preserve">en el SIG está identificado con </w:t>
            </w:r>
            <w:r w:rsidR="00431167" w:rsidRPr="00762305">
              <w:t>ST-FT-12</w:t>
            </w:r>
            <w:r w:rsidR="00431167">
              <w:t xml:space="preserve"> </w:t>
            </w:r>
            <w:r w:rsidR="00741D6B">
              <w:t>con fecha</w:t>
            </w:r>
            <w:r w:rsidR="00431167">
              <w:t xml:space="preserve"> 17 de julio de 2018, además, los dos formatos rigen como versión 1.</w:t>
            </w:r>
          </w:p>
          <w:p w14:paraId="746A32C7" w14:textId="77777777" w:rsidR="0053532C" w:rsidRPr="00660C76" w:rsidRDefault="005629FC" w:rsidP="007E0CE2">
            <w:pPr>
              <w:pStyle w:val="Prrafodelista"/>
              <w:numPr>
                <w:ilvl w:val="0"/>
                <w:numId w:val="26"/>
              </w:numPr>
              <w:ind w:left="351" w:hanging="351"/>
              <w:jc w:val="both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CO"/>
              </w:rPr>
            </w:pPr>
            <w:r w:rsidRPr="00660C76">
              <w:t>En la verificación de la herramienta CA Service Manager</w:t>
            </w:r>
            <w:r w:rsidR="00D01190" w:rsidRPr="00660C76">
              <w:t>,</w:t>
            </w:r>
            <w:r w:rsidRPr="00660C76">
              <w:t xml:space="preserve"> las solicitudes que son asignadas al Nivel 3</w:t>
            </w:r>
            <w:r w:rsidR="00D01190" w:rsidRPr="00660C76">
              <w:t xml:space="preserve"> (grupo </w:t>
            </w:r>
            <w:r w:rsidR="00660C76" w:rsidRPr="00660C76">
              <w:t>soporte técnico OTSI</w:t>
            </w:r>
            <w:r w:rsidR="00D01190" w:rsidRPr="00660C76">
              <w:t>) una vez solucionadas las</w:t>
            </w:r>
            <w:r w:rsidRPr="00660C76">
              <w:t xml:space="preserve"> trasladan a Nivel I para el cierre</w:t>
            </w:r>
            <w:r w:rsidR="006B1309" w:rsidRPr="00660C76">
              <w:t>, s</w:t>
            </w:r>
            <w:r w:rsidRPr="00660C76">
              <w:t xml:space="preserve">in embargo, la OTSI </w:t>
            </w:r>
            <w:r w:rsidRPr="00660C76">
              <w:lastRenderedPageBreak/>
              <w:t xml:space="preserve">estableció el </w:t>
            </w:r>
            <w:r w:rsidR="00D01190" w:rsidRPr="00660C76">
              <w:t xml:space="preserve">siguiente </w:t>
            </w:r>
            <w:r w:rsidRPr="00660C76">
              <w:t xml:space="preserve">lineamiento </w:t>
            </w:r>
            <w:r w:rsidRPr="00660C76">
              <w:rPr>
                <w:rFonts w:ascii="Calibri" w:eastAsia="Times New Roman" w:hAnsi="Calibri" w:cs="Calibri"/>
                <w:bCs/>
                <w:i/>
                <w:color w:val="000000"/>
                <w:lang w:eastAsia="es-CO"/>
              </w:rPr>
              <w:t>“El cambio de estado</w:t>
            </w:r>
            <w:r w:rsidR="00996C1E" w:rsidRPr="00660C76">
              <w:rPr>
                <w:rFonts w:ascii="Calibri" w:eastAsia="Times New Roman" w:hAnsi="Calibri" w:cs="Calibri"/>
                <w:bCs/>
                <w:i/>
                <w:color w:val="000000"/>
                <w:lang w:eastAsia="es-CO"/>
              </w:rPr>
              <w:t>,</w:t>
            </w:r>
            <w:r w:rsidRPr="00660C76">
              <w:rPr>
                <w:rFonts w:ascii="Calibri" w:eastAsia="Times New Roman" w:hAnsi="Calibri" w:cs="Calibri"/>
                <w:bCs/>
                <w:i/>
                <w:color w:val="000000"/>
                <w:lang w:eastAsia="es-CO"/>
              </w:rPr>
              <w:t xml:space="preserve"> en la herramienta a solucionado</w:t>
            </w:r>
            <w:r w:rsidR="00996C1E" w:rsidRPr="00660C76">
              <w:rPr>
                <w:rFonts w:ascii="Calibri" w:eastAsia="Times New Roman" w:hAnsi="Calibri" w:cs="Calibri"/>
                <w:bCs/>
                <w:i/>
                <w:color w:val="000000"/>
                <w:lang w:eastAsia="es-CO"/>
              </w:rPr>
              <w:t>,</w:t>
            </w:r>
            <w:r w:rsidRPr="00660C76">
              <w:rPr>
                <w:rFonts w:ascii="Calibri" w:eastAsia="Times New Roman" w:hAnsi="Calibri" w:cs="Calibri"/>
                <w:bCs/>
                <w:i/>
                <w:color w:val="000000"/>
                <w:lang w:eastAsia="es-CO"/>
              </w:rPr>
              <w:t xml:space="preserve"> debe ser realizado por el nivel que realmente ejecute la actividad de solución”</w:t>
            </w:r>
            <w:r w:rsidR="006B1309" w:rsidRPr="00660C7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lo cual </w:t>
            </w:r>
            <w:r w:rsidR="00D01190" w:rsidRPr="00660C7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entra en</w:t>
            </w:r>
            <w:r w:rsidR="006B1309" w:rsidRPr="00660C7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contradicción frente a lo parametrizado en la herramienta de CA</w:t>
            </w:r>
            <w:r w:rsidR="00D01190" w:rsidRPr="00660C7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.</w:t>
            </w:r>
          </w:p>
          <w:p w14:paraId="292AEE1C" w14:textId="77777777" w:rsidR="000E59FA" w:rsidRDefault="00D01190" w:rsidP="00C62C2D">
            <w:pPr>
              <w:pStyle w:val="Prrafodelista"/>
              <w:numPr>
                <w:ilvl w:val="0"/>
                <w:numId w:val="26"/>
              </w:numPr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741D6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En l</w:t>
            </w:r>
            <w:r w:rsidR="004D019F" w:rsidRPr="00741D6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a implementación del sistema SAP </w:t>
            </w:r>
            <w:r w:rsidR="00E71A16" w:rsidRPr="00741D6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se evidenci</w:t>
            </w:r>
            <w:r w:rsidRPr="00741D6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ar</w:t>
            </w:r>
            <w:r w:rsidR="00E71A16" w:rsidRPr="00741D6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o</w:t>
            </w:r>
            <w:r w:rsidRPr="00741D6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n</w:t>
            </w:r>
            <w:r w:rsidR="00E71A16" w:rsidRPr="00741D6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las</w:t>
            </w:r>
            <w:r w:rsidR="004D019F" w:rsidRPr="00741D6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siguiente</w:t>
            </w:r>
            <w:r w:rsidR="006B1309" w:rsidRPr="00741D6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s situaciones</w:t>
            </w:r>
            <w:r w:rsidR="004D019F" w:rsidRPr="00741D6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:</w:t>
            </w:r>
          </w:p>
          <w:p w14:paraId="6EFD7EB6" w14:textId="77777777" w:rsidR="00260237" w:rsidRDefault="00260237" w:rsidP="00260237">
            <w:pPr>
              <w:pStyle w:val="Prrafodelista"/>
              <w:ind w:left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0DF30475" w14:textId="77777777" w:rsidR="004D019F" w:rsidRPr="00660C76" w:rsidRDefault="00A722A1" w:rsidP="00B103C4">
            <w:pPr>
              <w:pStyle w:val="Prrafodelista"/>
              <w:numPr>
                <w:ilvl w:val="0"/>
                <w:numId w:val="23"/>
              </w:numPr>
              <w:tabs>
                <w:tab w:val="left" w:pos="634"/>
              </w:tabs>
              <w:spacing w:after="0" w:line="240" w:lineRule="auto"/>
              <w:ind w:left="351" w:firstLine="0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660C76">
              <w:t>L</w:t>
            </w:r>
            <w:r w:rsidR="004D019F" w:rsidRPr="00660C76">
              <w:t xml:space="preserve">os módulos de la Subdirección </w:t>
            </w:r>
            <w:r w:rsidR="00260237" w:rsidRPr="00660C76">
              <w:t xml:space="preserve">de Gestión </w:t>
            </w:r>
            <w:r w:rsidR="004D019F" w:rsidRPr="00660C76">
              <w:t>Adminis</w:t>
            </w:r>
            <w:r w:rsidR="00EE4933" w:rsidRPr="00660C76">
              <w:t>trativa AA (activo fijo) y MM (Gestión de M</w:t>
            </w:r>
            <w:r w:rsidR="004D019F" w:rsidRPr="00660C76">
              <w:t xml:space="preserve">ateriales) y para </w:t>
            </w:r>
            <w:r w:rsidR="00B103C4" w:rsidRPr="00660C76">
              <w:t>el módulo de la</w:t>
            </w:r>
            <w:r w:rsidR="004D019F" w:rsidRPr="00660C76">
              <w:t xml:space="preserve"> Subdirección</w:t>
            </w:r>
            <w:r w:rsidR="00260237" w:rsidRPr="00660C76">
              <w:t xml:space="preserve"> de Gestión</w:t>
            </w:r>
            <w:r w:rsidR="004D019F" w:rsidRPr="00660C76">
              <w:t xml:space="preserve"> Financiera NICSP (Normas Internacionales de Contabilidad del Sector Públic</w:t>
            </w:r>
            <w:r w:rsidR="00EE4933" w:rsidRPr="00660C76">
              <w:t>o</w:t>
            </w:r>
            <w:r w:rsidR="004D019F" w:rsidRPr="00660C76">
              <w:t>)</w:t>
            </w:r>
            <w:r w:rsidRPr="00660C76">
              <w:t>, se encuentran en la fase V etapa de estabilización.</w:t>
            </w:r>
          </w:p>
          <w:p w14:paraId="3EFEA531" w14:textId="77777777" w:rsidR="00B103C4" w:rsidRPr="00660C76" w:rsidRDefault="00B103C4" w:rsidP="00B103C4">
            <w:pPr>
              <w:pStyle w:val="Prrafodelista"/>
              <w:tabs>
                <w:tab w:val="left" w:pos="634"/>
              </w:tabs>
              <w:spacing w:after="0" w:line="240" w:lineRule="auto"/>
              <w:ind w:left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4A14147A" w14:textId="77777777" w:rsidR="00A02542" w:rsidRPr="00660C76" w:rsidRDefault="000E59FA" w:rsidP="00384F5B">
            <w:pPr>
              <w:pStyle w:val="Prrafodelista"/>
              <w:numPr>
                <w:ilvl w:val="0"/>
                <w:numId w:val="30"/>
              </w:numPr>
              <w:tabs>
                <w:tab w:val="left" w:pos="634"/>
              </w:tabs>
              <w:spacing w:after="0" w:line="240" w:lineRule="auto"/>
              <w:ind w:left="351" w:firstLine="0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660C7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</w:t>
            </w:r>
            <w:r w:rsidR="004D019F" w:rsidRPr="00660C7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l módulo HCM-PY (Nómina) se encuentra en la etapa de pruebas unitarias, </w:t>
            </w:r>
            <w:r w:rsidR="00A02542" w:rsidRPr="00660C7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aún no </w:t>
            </w:r>
            <w:r w:rsidRPr="00660C7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 </w:t>
            </w:r>
            <w:r w:rsidR="00A02542" w:rsidRPr="00660C7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ha comenzado la etapa de pruebas integrales y falta por iniciar las etapas IV y V para la entrega y salida en vivo del sistema. </w:t>
            </w:r>
          </w:p>
          <w:p w14:paraId="7F6277B0" w14:textId="77777777" w:rsidR="007B2A0D" w:rsidRDefault="007B2A0D" w:rsidP="007B2A0D">
            <w:pPr>
              <w:pStyle w:val="Prrafodelista"/>
              <w:spacing w:after="0" w:line="240" w:lineRule="auto"/>
              <w:ind w:left="209" w:hanging="209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7F96A64D" w14:textId="77777777" w:rsidR="00F17299" w:rsidRDefault="007B2A0D" w:rsidP="00AC2F5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En la revisión de documentos soporte de la implementación de SAP se encontró que</w:t>
            </w:r>
            <w:r w:rsidR="000E59FA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por su densidad</w:t>
            </w:r>
            <w:r w:rsidR="000E59FA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se encuentra</w:t>
            </w:r>
            <w:r w:rsidR="000E59FA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n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Pr="00660C7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alojados en SOLMAN,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cuando</w:t>
            </w:r>
            <w:r w:rsidR="002106AD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debería</w:t>
            </w:r>
            <w:r w:rsidR="0026023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n</w:t>
            </w:r>
            <w:r w:rsidR="002106AD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estar en 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un sitio de almacenamiento que asegure su dispo</w:t>
            </w:r>
            <w:r w:rsid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nibilidad y accesibilidad para Entes de C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ontrol interno o externo.</w:t>
            </w:r>
          </w:p>
          <w:p w14:paraId="5176D27B" w14:textId="77777777" w:rsidR="00690661" w:rsidRPr="00EE4933" w:rsidRDefault="00690661" w:rsidP="00690661">
            <w:pPr>
              <w:pStyle w:val="Prrafodelista"/>
              <w:spacing w:after="0" w:line="240" w:lineRule="auto"/>
              <w:ind w:left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567591EC" w14:textId="77777777" w:rsidR="007B2A0D" w:rsidRDefault="00F17299" w:rsidP="003A6D7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rFonts w:ascii="Calibri" w:eastAsia="Times New Roman" w:hAnsi="Calibri" w:cs="Calibri"/>
                <w:bCs/>
                <w:lang w:eastAsia="es-CO"/>
              </w:rPr>
              <w:t xml:space="preserve">La matriz de riesgos del proyecto SAP fase II 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 encuentra en el aplicativo SOLMAN en la ruta "10. Documentos Contractuales/20171213IENMatriz_Riesgos - v002 </w:t>
            </w:r>
            <w:r w:rsid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con corte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al 21 de diciembre de 2017</w:t>
            </w:r>
            <w:r w:rsidR="0057356D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</w:t>
            </w:r>
            <w:r w:rsid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adicionalmente, </w:t>
            </w:r>
            <w:r w:rsidR="0057356D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no se evidencia el seguimiento a las acciones formuladas para controlar los riesgos.</w:t>
            </w:r>
          </w:p>
          <w:p w14:paraId="776BF162" w14:textId="77777777" w:rsidR="00690661" w:rsidRPr="00690661" w:rsidRDefault="00690661" w:rsidP="00690661">
            <w:pPr>
              <w:pStyle w:val="Prrafodelista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031836F7" w14:textId="77777777" w:rsidR="00FA45B7" w:rsidRPr="00690661" w:rsidRDefault="00AB16D7" w:rsidP="004A22EA">
            <w:pPr>
              <w:pStyle w:val="Prrafodelista"/>
              <w:numPr>
                <w:ilvl w:val="0"/>
                <w:numId w:val="26"/>
              </w:numPr>
              <w:tabs>
                <w:tab w:val="left" w:pos="351"/>
              </w:tabs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color w:val="000000"/>
                <w:lang w:eastAsia="es-CO"/>
              </w:rPr>
              <w:t xml:space="preserve">Para verificar la implementación de RENE (Registro Nacional Educativo) se revisó el </w:t>
            </w:r>
            <w:r w:rsidR="00260237">
              <w:rPr>
                <w:color w:val="000000"/>
                <w:lang w:eastAsia="es-CO"/>
              </w:rPr>
              <w:t>C</w:t>
            </w:r>
            <w:r w:rsidRPr="00EE4933">
              <w:rPr>
                <w:color w:val="000000"/>
                <w:lang w:eastAsia="es-CO"/>
              </w:rPr>
              <w:t xml:space="preserve">ontrato 1313 </w:t>
            </w:r>
            <w:r w:rsidR="00610E96" w:rsidRPr="00EE4933">
              <w:rPr>
                <w:color w:val="000000"/>
                <w:lang w:eastAsia="es-CO"/>
              </w:rPr>
              <w:t>que tiene como objeto la “</w:t>
            </w:r>
            <w:r w:rsidR="00610E96" w:rsidRPr="00260237">
              <w:rPr>
                <w:i/>
                <w:color w:val="000000"/>
                <w:lang w:eastAsia="es-CO"/>
              </w:rPr>
              <w:t>Consultoría especializada para el desarrollo de la arquitectura, definición y diseño del Registro Nacional de Educación-RENE- para el sector Educativo Colombiano</w:t>
            </w:r>
            <w:r w:rsidR="000127E0" w:rsidRPr="00EE4933">
              <w:rPr>
                <w:color w:val="000000"/>
                <w:lang w:eastAsia="es-CO"/>
              </w:rPr>
              <w:t>”</w:t>
            </w:r>
            <w:r w:rsidR="00610E96" w:rsidRPr="00EE4933">
              <w:rPr>
                <w:color w:val="000000"/>
                <w:lang w:eastAsia="es-CO"/>
              </w:rPr>
              <w:t xml:space="preserve">, el cual se liquidó en julio de 2017 con el 100% en la etapa de diseño. </w:t>
            </w:r>
            <w:r w:rsidR="000E59FA" w:rsidRPr="00EE4933">
              <w:rPr>
                <w:color w:val="000000"/>
                <w:lang w:eastAsia="es-CO"/>
              </w:rPr>
              <w:t>P</w:t>
            </w:r>
            <w:r w:rsidR="00610E96" w:rsidRPr="00EE4933">
              <w:rPr>
                <w:color w:val="000000"/>
                <w:lang w:eastAsia="es-CO"/>
              </w:rPr>
              <w:t>ara la etapa de desar</w:t>
            </w:r>
            <w:r w:rsidR="000E59FA" w:rsidRPr="00EE4933">
              <w:rPr>
                <w:color w:val="000000"/>
                <w:lang w:eastAsia="es-CO"/>
              </w:rPr>
              <w:t>rollo e implementación, se esper</w:t>
            </w:r>
            <w:r w:rsidR="00260237">
              <w:rPr>
                <w:color w:val="000000"/>
                <w:lang w:eastAsia="es-CO"/>
              </w:rPr>
              <w:t>a la asignación de</w:t>
            </w:r>
            <w:r w:rsidR="000E59FA" w:rsidRPr="00EE4933">
              <w:rPr>
                <w:color w:val="000000"/>
                <w:lang w:eastAsia="es-CO"/>
              </w:rPr>
              <w:t xml:space="preserve"> recursos para el 2019, ya que en lo transcurrido del 2018 no </w:t>
            </w:r>
            <w:r w:rsidR="00260237">
              <w:rPr>
                <w:color w:val="000000"/>
                <w:lang w:eastAsia="es-CO"/>
              </w:rPr>
              <w:t>fueron</w:t>
            </w:r>
            <w:r w:rsidR="000E59FA" w:rsidRPr="00EE4933">
              <w:rPr>
                <w:color w:val="000000"/>
                <w:lang w:eastAsia="es-CO"/>
              </w:rPr>
              <w:t xml:space="preserve"> asignado</w:t>
            </w:r>
            <w:r w:rsidR="00260237">
              <w:rPr>
                <w:color w:val="000000"/>
                <w:lang w:eastAsia="es-CO"/>
              </w:rPr>
              <w:t>s</w:t>
            </w:r>
            <w:r w:rsidR="000E59FA" w:rsidRPr="00EE4933">
              <w:rPr>
                <w:color w:val="000000"/>
                <w:lang w:eastAsia="es-CO"/>
              </w:rPr>
              <w:t>.</w:t>
            </w:r>
          </w:p>
          <w:p w14:paraId="530146AB" w14:textId="77777777" w:rsidR="00690661" w:rsidRPr="00690661" w:rsidRDefault="00690661" w:rsidP="00690661">
            <w:pPr>
              <w:pStyle w:val="Prrafodelista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7300FD04" w14:textId="77777777" w:rsidR="00FA45B7" w:rsidRPr="00690661" w:rsidRDefault="00AF24A2" w:rsidP="002A081F">
            <w:pPr>
              <w:pStyle w:val="Prrafodelista"/>
              <w:numPr>
                <w:ilvl w:val="0"/>
                <w:numId w:val="26"/>
              </w:numPr>
              <w:tabs>
                <w:tab w:val="left" w:pos="351"/>
              </w:tabs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El</w:t>
            </w:r>
            <w:r w:rsidR="00503E12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PETIC “Plan Estratégico de Tecnología de Información y Comunicaciones 2014-2018”</w:t>
            </w:r>
            <w:r w:rsidR="00FA45B7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se enc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uentra</w:t>
            </w:r>
            <w:r w:rsidR="00FA45B7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en </w:t>
            </w:r>
            <w:r w:rsidR="00FA45B7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actualización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</w:t>
            </w:r>
            <w:r w:rsidR="00FA45B7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la </w:t>
            </w:r>
            <w:r w:rsidR="00503E12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documenta</w:t>
            </w:r>
            <w:r w:rsidR="00FA45B7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ción de</w:t>
            </w:r>
            <w:r w:rsidR="00503E12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las </w:t>
            </w:r>
            <w:r w:rsidR="00503E12">
              <w:t>estrategias en materia de tecnología, los lineamientos</w:t>
            </w:r>
            <w:r w:rsidR="00FA45B7">
              <w:t xml:space="preserve"> para el desarrollo y optimización e implementación de los sistemas de información del MEN.</w:t>
            </w:r>
          </w:p>
          <w:p w14:paraId="07F76CB5" w14:textId="77777777" w:rsidR="00690661" w:rsidRPr="00690661" w:rsidRDefault="00690661" w:rsidP="00690661">
            <w:pPr>
              <w:pStyle w:val="Prrafodelista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3A11FEBF" w14:textId="77777777" w:rsidR="0022500F" w:rsidRDefault="008F2878" w:rsidP="00AC116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Para la evaluación del servicio </w:t>
            </w:r>
            <w:r w:rsid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de mesa de ayuda 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 </w:t>
            </w:r>
            <w:r w:rsidR="00480F05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envía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la encuesta de satisfacción del usuario</w:t>
            </w:r>
            <w:r w:rsidR="00480F05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sin </w:t>
            </w:r>
            <w:r w:rsidR="000127E0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embargo,</w:t>
            </w:r>
            <w:r w:rsidR="00480F05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se dificulta medir </w:t>
            </w:r>
            <w:r w:rsid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la calidad </w:t>
            </w:r>
            <w:r w:rsidR="00480F0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de</w:t>
            </w:r>
            <w:r w:rsidR="0025285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</w:t>
            </w:r>
            <w:r w:rsidR="00480F0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servicio prestado</w:t>
            </w:r>
            <w:r w:rsidR="00480F05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y la</w:t>
            </w:r>
            <w:r w:rsidR="00480F05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satisfacción del usuario, dado que no todos responden la encuesta.</w:t>
            </w:r>
          </w:p>
          <w:p w14:paraId="5F66B88E" w14:textId="77777777" w:rsidR="00690661" w:rsidRPr="00690661" w:rsidRDefault="00690661" w:rsidP="00690661">
            <w:pPr>
              <w:pStyle w:val="Prrafodelista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02C31142" w14:textId="77777777" w:rsidR="00B44012" w:rsidRPr="00B44012" w:rsidRDefault="000127E0" w:rsidP="0069066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 ha adquirido </w:t>
            </w:r>
            <w:r w:rsidR="0022500F"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el licenciamiento de Office 365</w:t>
            </w:r>
            <w:r w:rsidR="00D3272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="0022500F"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el cual incluye herramientas como Outlook, OneDrive, SharePoint, Yammer, entre otras, las cuales facilitan el intercambio, almacenamiento, comunicación, creación de comunidades y compartir información, entre usuarios internos de la entidad</w:t>
            </w:r>
            <w:r w:rsidR="00FA45B7"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</w:t>
            </w:r>
            <w:r w:rsidR="007F2F2F"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sin </w:t>
            </w:r>
            <w:r w:rsidR="0069642B"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embargo,</w:t>
            </w:r>
            <w:r w:rsidR="007F2F2F"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FA45B7"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no </w:t>
            </w:r>
            <w:r w:rsidR="002C1D6B"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se ha</w:t>
            </w:r>
            <w:r w:rsidR="00FA45B7"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2C1D6B"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difundido su uso</w:t>
            </w:r>
            <w:r w:rsidR="000E48D7" w:rsidRPr="00853FE7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a los funcionarios del MEN.</w:t>
            </w:r>
          </w:p>
        </w:tc>
      </w:tr>
      <w:tr w:rsidR="003870E7" w:rsidRPr="003870E7" w14:paraId="007BFA37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65B1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7D970398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CB53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1C7B965D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DEC3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0390D9F0" w14:textId="77777777" w:rsidTr="000E7086">
        <w:trPr>
          <w:trHeight w:val="450"/>
        </w:trPr>
        <w:tc>
          <w:tcPr>
            <w:tcW w:w="10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381D" w14:textId="77777777" w:rsid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RECOMENDACIONES:</w:t>
            </w:r>
          </w:p>
          <w:p w14:paraId="70299191" w14:textId="77777777" w:rsidR="000A157D" w:rsidRDefault="000A157D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05C24A23" w14:textId="77777777" w:rsidR="00DB7012" w:rsidRPr="00EE4933" w:rsidRDefault="00F74119" w:rsidP="001D4DB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Continuar con los ajustes y actualización del catálogo de s</w:t>
            </w:r>
            <w:r w:rsidR="007E116B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ervicio, teniendo en cuenta los </w:t>
            </w:r>
            <w:r w:rsidR="00105BA6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servicios </w:t>
            </w:r>
            <w:r w:rsidR="007E116B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de </w:t>
            </w:r>
            <w:r w:rsidR="00105BA6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TI con los lineamientos de la entidad</w:t>
            </w:r>
            <w:r w:rsidR="00105BA6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="003837DD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 tal </w:t>
            </w:r>
            <w:r w:rsidR="00C31DC8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forma </w:t>
            </w:r>
            <w:r w:rsidR="007E116B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que se </w:t>
            </w:r>
            <w:r w:rsidR="00C31DC8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articu</w:t>
            </w:r>
            <w:r w:rsidR="007E116B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len</w:t>
            </w:r>
            <w:r w:rsidR="00C31DC8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con la misión y objetivos </w:t>
            </w:r>
            <w:r w:rsidR="00105BA6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institucionales.</w:t>
            </w:r>
            <w:r w:rsidR="00EE4933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</w:p>
          <w:p w14:paraId="09A2C7E8" w14:textId="77777777" w:rsidR="00DB7012" w:rsidRDefault="001A207B" w:rsidP="00924EF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R</w:t>
            </w:r>
            <w:r w:rsidR="00EF4CAE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evisar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 con apoyo de la SDO, el versio</w:t>
            </w:r>
            <w:r w:rsidR="00EF4CAE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namiento y codificación de los documentos y formatos </w:t>
            </w:r>
            <w:r w:rsidR="00CD72BA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que hacen parte del proceso Gestión de Servicios </w:t>
            </w:r>
            <w:r w:rsidR="003837DD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TIC, para </w:t>
            </w:r>
            <w:r w:rsidR="00CD72BA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llevar un control sobre los registros publicados en el SIG.</w:t>
            </w:r>
          </w:p>
          <w:p w14:paraId="44DBC2AF" w14:textId="77777777" w:rsidR="00690661" w:rsidRPr="00EE4933" w:rsidRDefault="00690661" w:rsidP="00690661">
            <w:pPr>
              <w:pStyle w:val="Prrafodelista"/>
              <w:spacing w:after="0" w:line="240" w:lineRule="auto"/>
              <w:ind w:left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3DC87E47" w14:textId="77777777" w:rsidR="00CD72BA" w:rsidRDefault="0077492B" w:rsidP="00480F0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lastRenderedPageBreak/>
              <w:t xml:space="preserve">Revisar </w:t>
            </w:r>
            <w:r w:rsidR="002D4B3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frente </w:t>
            </w:r>
            <w:r w:rsidR="003837DD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a </w:t>
            </w:r>
            <w:r w:rsidR="002D4B3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la herramienta </w:t>
            </w:r>
            <w:r w:rsidR="00252855" w:rsidRPr="00252855">
              <w:t>CA Service Manager</w:t>
            </w:r>
            <w:r w:rsidR="0025285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2D4B3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y al proce</w:t>
            </w:r>
            <w:r w:rsidR="0025285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dimiento de solicitudes</w:t>
            </w:r>
            <w:r w:rsidR="002D4B3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</w:t>
            </w:r>
            <w:r w:rsidR="001A207B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el</w:t>
            </w:r>
            <w:r w:rsidR="003837DD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nivel</w:t>
            </w:r>
            <w:r w:rsidR="002D4B3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1A207B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de prestación de servicios, que </w:t>
            </w:r>
            <w:r w:rsidR="002D4B3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debe dar cierre a las </w:t>
            </w:r>
            <w:r w:rsid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misma</w:t>
            </w:r>
            <w:r w:rsidR="002D4B3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s, para </w:t>
            </w:r>
            <w:r w:rsidR="003837DD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no afectar </w:t>
            </w:r>
            <w:r w:rsidR="002D4B35" w:rsidRPr="0025285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los tiempos ni los indicadores del procedimiento.</w:t>
            </w:r>
          </w:p>
          <w:p w14:paraId="4FA1474E" w14:textId="77777777" w:rsidR="00690661" w:rsidRPr="00690661" w:rsidRDefault="00690661" w:rsidP="00690661">
            <w:pPr>
              <w:pStyle w:val="Prrafodelista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7939492F" w14:textId="77777777" w:rsidR="002379C0" w:rsidRPr="00690661" w:rsidRDefault="00CD0E1D" w:rsidP="00C35E0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Continuar la implementación de SAP bajo las mejores prácticas de </w:t>
            </w:r>
            <w:r w:rsidR="000008A9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la metodología ASAP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, la cual permite minimizar los riesgos, reducir costos, </w:t>
            </w:r>
            <w:r w:rsidR="001A207B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para</w:t>
            </w:r>
            <w:r w:rsidRPr="00503E12">
              <w:t xml:space="preserve"> acelerar los plazos del proyecto y generar la documentación requerida.</w:t>
            </w:r>
          </w:p>
          <w:p w14:paraId="25B985B7" w14:textId="77777777" w:rsidR="00690661" w:rsidRPr="00690661" w:rsidRDefault="00690661" w:rsidP="00690661">
            <w:pPr>
              <w:pStyle w:val="Prrafodelista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594B77D9" w14:textId="77777777" w:rsidR="00786AF3" w:rsidRPr="00EE4933" w:rsidRDefault="002379C0" w:rsidP="008353D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Evaluar la posibilidad de alojar la documentación del proyecto SAP en un sitio </w:t>
            </w:r>
            <w:r w:rsidR="00F3422F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de almacenamiento que garantice </w:t>
            </w:r>
            <w:r w:rsidR="001A207B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la</w:t>
            </w:r>
            <w:r w:rsidR="00F3422F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disponibilidad constante para su acceso y consulta.</w:t>
            </w:r>
          </w:p>
          <w:p w14:paraId="3F41ACC7" w14:textId="77777777" w:rsidR="00DB7012" w:rsidRDefault="00786AF3" w:rsidP="008243B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Actualizar la matriz de riesgos </w:t>
            </w:r>
            <w:r w:rsidRPr="00EE4933">
              <w:rPr>
                <w:rFonts w:ascii="Calibri" w:eastAsia="Times New Roman" w:hAnsi="Calibri" w:cs="Calibri"/>
                <w:bCs/>
                <w:lang w:eastAsia="es-CO"/>
              </w:rPr>
              <w:t>del proyecto SAP fase II</w:t>
            </w:r>
            <w:r w:rsidR="006B45AB" w:rsidRPr="00EE4933">
              <w:rPr>
                <w:rFonts w:ascii="Calibri" w:eastAsia="Times New Roman" w:hAnsi="Calibri" w:cs="Calibri"/>
                <w:bCs/>
                <w:lang w:eastAsia="es-CO"/>
              </w:rPr>
              <w:t>,</w:t>
            </w:r>
            <w:r w:rsidRPr="00EE4933">
              <w:rPr>
                <w:rFonts w:ascii="Calibri" w:eastAsia="Times New Roman" w:hAnsi="Calibri" w:cs="Calibri"/>
                <w:bCs/>
                <w:lang w:eastAsia="es-CO"/>
              </w:rPr>
              <w:t xml:space="preserve"> 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que se encuentra en SOLMAN, así mismo revisar y realizar seguimiento de los controles y acciones formuladas para mitigar </w:t>
            </w:r>
            <w:r w:rsidR="006B45AB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los riesgos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.</w:t>
            </w:r>
          </w:p>
          <w:p w14:paraId="558E2C2D" w14:textId="77777777" w:rsidR="00690661" w:rsidRPr="00EE4933" w:rsidRDefault="00690661" w:rsidP="00690661">
            <w:pPr>
              <w:pStyle w:val="Prrafodelista"/>
              <w:spacing w:after="0" w:line="240" w:lineRule="auto"/>
              <w:ind w:left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4A41AB0A" w14:textId="77777777" w:rsidR="00DB7012" w:rsidRPr="00EE4933" w:rsidRDefault="00DD17F3" w:rsidP="007968E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Continuar con </w:t>
            </w:r>
            <w:r w:rsidR="005712C7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la 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implementación de RENE</w:t>
            </w:r>
            <w:r w:rsidR="005712C7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  <w:r w:rsidR="003837DD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Sistema que 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permitirá disponer de información</w:t>
            </w:r>
            <w:r w:rsidR="005712C7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 forma oportuna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completa, de calidad</w:t>
            </w:r>
            <w:r w:rsidR="003837DD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, estructurada p</w:t>
            </w:r>
            <w:r w:rsidR="001A207B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ara la toma de decisiones de</w:t>
            </w:r>
            <w:r w:rsidR="00996C1E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la A</w:t>
            </w:r>
            <w:r w:rsidR="003837DD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lta </w:t>
            </w:r>
            <w:r w:rsidR="00996C1E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Dirección</w:t>
            </w:r>
            <w:r w:rsidR="003837DD"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de la entidad.</w:t>
            </w:r>
          </w:p>
          <w:p w14:paraId="544B7FAA" w14:textId="77777777" w:rsidR="00DB7012" w:rsidRDefault="00503E12" w:rsidP="00401D9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Culminar la actualización del PETIC, donde se debe</w:t>
            </w:r>
            <w:r w:rsidR="00767C7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n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incluir </w:t>
            </w:r>
            <w:r>
              <w:t>l</w:t>
            </w:r>
            <w:r w:rsidR="004573C8">
              <w:t xml:space="preserve">os programas y proyectos de la Gestión TIC </w:t>
            </w:r>
            <w:r w:rsidR="003A6979">
              <w:t xml:space="preserve">alineados </w:t>
            </w:r>
            <w:r w:rsidR="004573C8">
              <w:t>con el Plan E</w:t>
            </w:r>
            <w:r>
              <w:t>stratégico del Sector Educación y del Ministerio de Educación Nacional, incluyendo la misión, visión, objetivos, metas a corto, mediano y largo plazo.</w:t>
            </w:r>
            <w:r w:rsidRPr="00EE4933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</w:t>
            </w:r>
          </w:p>
          <w:p w14:paraId="6F6D7F36" w14:textId="77777777" w:rsidR="00690661" w:rsidRPr="00EE4933" w:rsidRDefault="00690661" w:rsidP="00690661">
            <w:pPr>
              <w:pStyle w:val="Prrafodelista"/>
              <w:spacing w:after="0" w:line="240" w:lineRule="auto"/>
              <w:ind w:left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56B62E61" w14:textId="77777777" w:rsidR="0022500F" w:rsidRPr="00690661" w:rsidRDefault="00480F05" w:rsidP="00D71AF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480F05">
              <w:t xml:space="preserve">Realizar campañas </w:t>
            </w:r>
            <w:r w:rsidR="004573C8">
              <w:t xml:space="preserve">internas, </w:t>
            </w:r>
            <w:r w:rsidRPr="00480F05">
              <w:t>respecto a la importancia de responder la encuesta de las solicitudes de la mesa de ayuda de esta forma propender a la mejora de la calidad del servicio prestado.</w:t>
            </w:r>
          </w:p>
          <w:p w14:paraId="261E3181" w14:textId="77777777" w:rsidR="00690661" w:rsidRPr="00690661" w:rsidRDefault="00690661" w:rsidP="00690661">
            <w:pPr>
              <w:pStyle w:val="Prrafodelista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  <w:p w14:paraId="6F5DFBC6" w14:textId="77777777" w:rsidR="00345BC3" w:rsidRPr="00EE4933" w:rsidRDefault="0022500F" w:rsidP="00EE493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51" w:hanging="351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7F2F2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Soci</w:t>
            </w:r>
            <w:r w:rsidR="00D12970" w:rsidRPr="007F2F2F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alizar a los funcionarios del MEN el uso y manejo de herramientas adquiridas como las de Office 365, para que estas sean utilizadas en su totalidad.</w:t>
            </w:r>
          </w:p>
        </w:tc>
      </w:tr>
      <w:tr w:rsidR="003870E7" w:rsidRPr="003870E7" w14:paraId="5852F630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7B2A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1040BDC2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79EA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3EC86601" w14:textId="77777777" w:rsidTr="000E7086">
        <w:trPr>
          <w:trHeight w:val="450"/>
        </w:trPr>
        <w:tc>
          <w:tcPr>
            <w:tcW w:w="100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745A" w14:textId="77777777" w:rsidR="003870E7" w:rsidRPr="003870E7" w:rsidRDefault="003870E7" w:rsidP="00387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3870E7" w:rsidRPr="003870E7" w14:paraId="358D9166" w14:textId="77777777" w:rsidTr="000E7086">
        <w:trPr>
          <w:trHeight w:val="300"/>
        </w:trPr>
        <w:tc>
          <w:tcPr>
            <w:tcW w:w="100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0EE1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870E7" w:rsidRPr="003870E7" w14:paraId="60C6F470" w14:textId="77777777" w:rsidTr="000E7086">
        <w:trPr>
          <w:trHeight w:val="300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14:paraId="130FD0B9" w14:textId="77777777" w:rsidR="003870E7" w:rsidRPr="003870E7" w:rsidRDefault="003870E7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INFORME DETALLADO</w:t>
            </w:r>
          </w:p>
        </w:tc>
      </w:tr>
      <w:tr w:rsidR="001C7334" w:rsidRPr="003870E7" w14:paraId="2EB677FB" w14:textId="77777777" w:rsidTr="000E7086">
        <w:trPr>
          <w:trHeight w:val="3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579" w14:textId="77777777" w:rsidR="001C7334" w:rsidRPr="003870E7" w:rsidRDefault="001C7334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Resultado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A54E" w14:textId="77777777" w:rsidR="001C7334" w:rsidRPr="003870E7" w:rsidRDefault="001C7334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Descripción</w:t>
            </w:r>
          </w:p>
        </w:tc>
        <w:tc>
          <w:tcPr>
            <w:tcW w:w="46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6CB7" w14:textId="77777777" w:rsidR="001C7334" w:rsidRPr="003870E7" w:rsidRDefault="001C7334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Recomendación</w:t>
            </w:r>
          </w:p>
        </w:tc>
      </w:tr>
      <w:tr w:rsidR="001C7334" w:rsidRPr="003870E7" w14:paraId="55ACF4BF" w14:textId="77777777" w:rsidTr="000E7086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A74F" w14:textId="77777777" w:rsidR="001C7334" w:rsidRDefault="001C7334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HZ</w:t>
            </w:r>
          </w:p>
          <w:p w14:paraId="24905459" w14:textId="77777777" w:rsidR="001C7334" w:rsidRPr="00362966" w:rsidRDefault="001C7334" w:rsidP="00362966">
            <w:pPr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9B38" w14:textId="77777777" w:rsidR="001C7334" w:rsidRDefault="001C7334" w:rsidP="00387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OM</w:t>
            </w:r>
          </w:p>
          <w:p w14:paraId="424F98B9" w14:textId="77777777" w:rsidR="001C7334" w:rsidRPr="00362966" w:rsidRDefault="001C7334" w:rsidP="00362966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C1D5" w14:textId="77777777" w:rsidR="001C7334" w:rsidRPr="0087581D" w:rsidRDefault="001C7334" w:rsidP="0087581D">
            <w:pPr>
              <w:tabs>
                <w:tab w:val="left" w:pos="183"/>
              </w:tabs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46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CF0" w14:textId="77777777" w:rsidR="001C7334" w:rsidRPr="003870E7" w:rsidRDefault="001C7334" w:rsidP="0087581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B67EFE" w:rsidRPr="003870E7" w14:paraId="2DF5CA7B" w14:textId="77777777" w:rsidTr="000E7086">
        <w:trPr>
          <w:trHeight w:val="1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20E5" w14:textId="77777777" w:rsidR="00EC1F0D" w:rsidRDefault="00EC1F0D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2298E568" w14:textId="77777777" w:rsidR="00EC1F0D" w:rsidRDefault="00EC1F0D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5EA5960E" w14:textId="77777777" w:rsidR="00B67EFE" w:rsidRPr="005B15FF" w:rsidRDefault="00B67EFE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77AC" w14:textId="77777777" w:rsidR="00B67EFE" w:rsidRPr="00362966" w:rsidRDefault="00B67EFE" w:rsidP="0011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BA22" w14:textId="77777777" w:rsidR="00B67EFE" w:rsidRPr="006B45AB" w:rsidRDefault="00B67EFE" w:rsidP="00115806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  <w:r w:rsidRPr="006B45AB">
              <w:t xml:space="preserve">En el reporte obtenido de la herramienta CA </w:t>
            </w:r>
            <w:proofErr w:type="spellStart"/>
            <w:r w:rsidRPr="006B45AB">
              <w:t>Service</w:t>
            </w:r>
            <w:proofErr w:type="spellEnd"/>
            <w:r w:rsidRPr="006B45AB">
              <w:t xml:space="preserve"> </w:t>
            </w:r>
            <w:proofErr w:type="spellStart"/>
            <w:r w:rsidRPr="006B45AB">
              <w:t>Desk</w:t>
            </w:r>
            <w:proofErr w:type="spellEnd"/>
            <w:r w:rsidRPr="006B45AB">
              <w:t xml:space="preserve"> Manager se observa que no se han cerrado solicitudes de la vigencia 2017 y de la vigencia actual</w:t>
            </w:r>
            <w:r w:rsidR="00DE6B55">
              <w:t>,</w:t>
            </w:r>
            <w:r w:rsidRPr="006B45AB">
              <w:t xml:space="preserve"> </w:t>
            </w:r>
            <w:r w:rsidR="00DE6B55" w:rsidRPr="00DE6B55">
              <w:t>ver</w:t>
            </w:r>
            <w:r w:rsidR="00DE6B55">
              <w:rPr>
                <w:b/>
              </w:rPr>
              <w:t xml:space="preserve"> ANEXO 4, </w:t>
            </w:r>
            <w:r w:rsidRPr="006B45AB">
              <w:t>incumpliendo</w:t>
            </w:r>
            <w:r w:rsidR="00C83430" w:rsidRPr="006B45AB">
              <w:t xml:space="preserve"> </w:t>
            </w:r>
            <w:r w:rsidR="006B45AB" w:rsidRPr="006B45AB">
              <w:t xml:space="preserve">los </w:t>
            </w:r>
            <w:r w:rsidR="00C83430" w:rsidRPr="006B45AB">
              <w:t>tiempo</w:t>
            </w:r>
            <w:r w:rsidR="006B45AB" w:rsidRPr="006B45AB">
              <w:t>s</w:t>
            </w:r>
            <w:r w:rsidR="00C83430" w:rsidRPr="006B45AB">
              <w:t xml:space="preserve"> de solución establecido</w:t>
            </w:r>
            <w:r w:rsidR="006B45AB" w:rsidRPr="006B45AB">
              <w:t>s</w:t>
            </w:r>
            <w:r w:rsidR="00C83430" w:rsidRPr="006B45AB">
              <w:t xml:space="preserve"> en el catálogo de servicios.</w:t>
            </w: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A6A1E" w14:textId="1EFD369B" w:rsidR="00B67EFE" w:rsidRPr="003870E7" w:rsidRDefault="00F41F5F" w:rsidP="00173893">
            <w:pPr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Acordar</w:t>
            </w:r>
            <w:r w:rsidR="00B67EFE">
              <w:t xml:space="preserve"> las actividades necesarias con el líder funcional para obtener una solución y cierre de los </w:t>
            </w:r>
            <w:r w:rsidR="00B67EFE" w:rsidRPr="00DF7DE4">
              <w:t>tiquetes abiertos</w:t>
            </w:r>
            <w:r w:rsidR="00B67EFE">
              <w:t xml:space="preserve"> de acuerdo con su categoría. Adicionalmente, </w:t>
            </w:r>
            <w:r>
              <w:t>definir</w:t>
            </w:r>
            <w:r w:rsidR="00B67EFE">
              <w:t xml:space="preserve"> tiempos de soluc</w:t>
            </w:r>
            <w:bookmarkStart w:id="2" w:name="_GoBack"/>
            <w:bookmarkEnd w:id="2"/>
            <w:r w:rsidR="00B67EFE">
              <w:t>ión a los grupos que no los tienen establecidos.</w:t>
            </w:r>
          </w:p>
        </w:tc>
      </w:tr>
      <w:tr w:rsidR="00173893" w:rsidRPr="003870E7" w14:paraId="3C9907CC" w14:textId="77777777" w:rsidTr="000E708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59265" w14:textId="77777777" w:rsidR="00EC1F0D" w:rsidRDefault="00EC1F0D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58AE11FE" w14:textId="77777777" w:rsidR="00EC1F0D" w:rsidRDefault="00EC1F0D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28F52D4B" w14:textId="77777777" w:rsidR="00EC1F0D" w:rsidRDefault="00EC1F0D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60D75EED" w14:textId="77777777" w:rsidR="00EC1F0D" w:rsidRDefault="00EC1F0D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41618B48" w14:textId="77777777" w:rsidR="00173893" w:rsidRPr="005B15FF" w:rsidRDefault="00173893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132F" w14:textId="77777777" w:rsidR="00173893" w:rsidRPr="00362966" w:rsidRDefault="00173893" w:rsidP="0017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1DD9A" w14:textId="77777777" w:rsidR="00173893" w:rsidRPr="00D9238B" w:rsidRDefault="00173893" w:rsidP="00173893">
            <w:pPr>
              <w:tabs>
                <w:tab w:val="left" w:pos="183"/>
              </w:tabs>
              <w:spacing w:after="0" w:line="240" w:lineRule="auto"/>
              <w:jc w:val="both"/>
              <w:rPr>
                <w:sz w:val="18"/>
              </w:rPr>
            </w:pPr>
            <w:r w:rsidRPr="00D9238B">
              <w:t xml:space="preserve">En la verificación del Directorio Activo, el 20 de septiembre de 2018, se estableció que </w:t>
            </w:r>
            <w:r w:rsidR="00EC1F0D" w:rsidRPr="00D9238B">
              <w:t xml:space="preserve">permanecen algunos usuarios que ya se han retirado de la entidad, situación evidenciada con </w:t>
            </w:r>
            <w:r w:rsidRPr="00D9238B">
              <w:t xml:space="preserve">el usuario OPantoja, </w:t>
            </w:r>
            <w:r w:rsidR="00D9238B" w:rsidRPr="00D9238B">
              <w:t>fu</w:t>
            </w:r>
            <w:r w:rsidRPr="00D9238B">
              <w:t>ncionaria retirada desde el 15 de agosto de 2018</w:t>
            </w:r>
            <w:r w:rsidR="00D9238B" w:rsidRPr="00D9238B">
              <w:t>,</w:t>
            </w:r>
            <w:r w:rsidRPr="00D9238B">
              <w:t xml:space="preserve"> de acuerdo con lo indicado por la Subdirección de Talento Humano, lo anterior incrementa el riesgo de acceso no autorizado y p</w:t>
            </w:r>
            <w:r w:rsidR="00767C7F" w:rsidRPr="00D9238B">
              <w:t>é</w:t>
            </w:r>
            <w:r w:rsidRPr="00D9238B">
              <w:t>rdida de confidencialidad de la información</w:t>
            </w: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F032A" w14:textId="77777777" w:rsidR="00173893" w:rsidRPr="00D9238B" w:rsidRDefault="00173893" w:rsidP="0017389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9238B">
              <w:t xml:space="preserve">Se recomienda validar periódicamente los usuarios del directorio activo con el fin de inactivar los que ya no están laborando en el MEN. </w:t>
            </w:r>
          </w:p>
        </w:tc>
      </w:tr>
      <w:tr w:rsidR="00173893" w:rsidRPr="003870E7" w14:paraId="3E411074" w14:textId="77777777" w:rsidTr="000E708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0286" w14:textId="77777777" w:rsidR="00EC1F0D" w:rsidRDefault="00EC1F0D" w:rsidP="000D6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34E6B5EF" w14:textId="77777777" w:rsidR="00EC1F0D" w:rsidRDefault="00EC1F0D" w:rsidP="000D6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11DE50D8" w14:textId="77777777" w:rsidR="00EC1F0D" w:rsidRDefault="00EC1F0D" w:rsidP="000D6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18D018BB" w14:textId="77777777" w:rsidR="00EC1F0D" w:rsidRDefault="00EC1F0D" w:rsidP="000D6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0251827F" w14:textId="77777777" w:rsidR="00EC1F0D" w:rsidRDefault="00EC1F0D" w:rsidP="000D6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0C07FD55" w14:textId="77777777" w:rsidR="00173893" w:rsidRPr="003870E7" w:rsidRDefault="00173893" w:rsidP="000D6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6C64" w14:textId="77777777" w:rsidR="00173893" w:rsidRPr="003870E7" w:rsidRDefault="00173893" w:rsidP="001738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FFE0" w14:textId="77777777" w:rsidR="00173893" w:rsidRDefault="00E91B35" w:rsidP="002438EB">
            <w:pPr>
              <w:spacing w:after="0" w:line="240" w:lineRule="auto"/>
              <w:jc w:val="both"/>
            </w:pPr>
            <w:r w:rsidRPr="00FC010E">
              <w:t xml:space="preserve">En la revisión </w:t>
            </w:r>
            <w:r w:rsidR="00FC010E">
              <w:t>de los expedientes</w:t>
            </w:r>
            <w:r w:rsidRPr="00FC010E">
              <w:t xml:space="preserve"> de los contratos, a cargo de la Oficina de Tecnología</w:t>
            </w:r>
            <w:r w:rsidR="0053532C">
              <w:t xml:space="preserve"> y Sistemas</w:t>
            </w:r>
            <w:r w:rsidRPr="00FC010E">
              <w:t xml:space="preserve"> d</w:t>
            </w:r>
            <w:r w:rsidR="00FC010E">
              <w:t>e Información, se identificó</w:t>
            </w:r>
            <w:r w:rsidR="002438EB">
              <w:t>:</w:t>
            </w:r>
          </w:p>
          <w:p w14:paraId="6DC510DF" w14:textId="77777777" w:rsidR="00903C73" w:rsidRDefault="00903C73" w:rsidP="00903C73">
            <w:pPr>
              <w:tabs>
                <w:tab w:val="left" w:pos="351"/>
              </w:tabs>
              <w:spacing w:after="0" w:line="240" w:lineRule="auto"/>
              <w:jc w:val="both"/>
            </w:pPr>
          </w:p>
          <w:p w14:paraId="3C253119" w14:textId="77777777" w:rsidR="00903C73" w:rsidRPr="00903C73" w:rsidRDefault="002438EB" w:rsidP="00903C73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s-CO"/>
              </w:rPr>
            </w:pPr>
            <w:r>
              <w:t xml:space="preserve">Los </w:t>
            </w:r>
            <w:r w:rsidR="00767C7F">
              <w:t>C</w:t>
            </w:r>
            <w:r>
              <w:t xml:space="preserve">ontratos 751, 754, 758, y 985 de 2018 no tienen la documentación que se generó </w:t>
            </w:r>
            <w:r w:rsidR="00903C73">
              <w:t>en</w:t>
            </w:r>
            <w:r>
              <w:t xml:space="preserve"> la ejecución</w:t>
            </w:r>
            <w:r w:rsidR="00767C7F">
              <w:t>,</w:t>
            </w:r>
            <w:r>
              <w:t xml:space="preserve"> como lo indica el manual de contratación numeral 8.2 y el procedimiento de supervisión y/o interventoría del Contrato o convenio en las Disposiciones Generales ítem 5</w:t>
            </w:r>
            <w:r w:rsidR="00903C73">
              <w:t xml:space="preserve">, donde indica que: </w:t>
            </w:r>
            <w:r w:rsidR="00903C73" w:rsidRPr="00903C73">
              <w:rPr>
                <w:rFonts w:ascii="Calibri" w:eastAsia="Times New Roman" w:hAnsi="Calibri" w:cs="Calibri"/>
                <w:bCs/>
                <w:lang w:eastAsia="es-CO"/>
              </w:rPr>
              <w:t>“</w:t>
            </w:r>
            <w:r w:rsidR="00903C73" w:rsidRPr="00767C7F">
              <w:rPr>
                <w:rFonts w:ascii="Calibri" w:eastAsia="Times New Roman" w:hAnsi="Calibri" w:cs="Calibri"/>
                <w:bCs/>
                <w:i/>
                <w:lang w:eastAsia="es-CO"/>
              </w:rPr>
              <w:t>Toda la documentación que se produzca con ocasión de la ejecución del contrato/convenio, deben reposar en el respectivo expediente y ser publicada en los sistemas de información que soportan la gestión contractual del Ministerio”</w:t>
            </w:r>
          </w:p>
          <w:p w14:paraId="79D9701C" w14:textId="77777777" w:rsidR="00E91B35" w:rsidRPr="00B67EFE" w:rsidRDefault="00E91B35" w:rsidP="00903C73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ECED2" w14:textId="77777777" w:rsidR="00173893" w:rsidRPr="00FC010E" w:rsidRDefault="00FC010E" w:rsidP="0053532C">
            <w:pPr>
              <w:jc w:val="both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Los supervisores de los </w:t>
            </w:r>
            <w:r w:rsidRPr="00EB468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contratos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deberán r</w:t>
            </w:r>
            <w:r w:rsidRPr="0023450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emitir la información a la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Subdirección de C</w:t>
            </w:r>
            <w:r w:rsidRPr="00234505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ontratación con el fin de tener la trazabilidad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del proceso contractual.</w:t>
            </w:r>
          </w:p>
        </w:tc>
      </w:tr>
      <w:tr w:rsidR="00173893" w:rsidRPr="003870E7" w14:paraId="20214CD0" w14:textId="77777777" w:rsidTr="000E7086">
        <w:trPr>
          <w:trHeight w:val="1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0F487" w14:textId="77777777" w:rsidR="00173893" w:rsidRPr="003870E7" w:rsidRDefault="00173893" w:rsidP="001738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1B656" w14:textId="77777777" w:rsidR="00173893" w:rsidRPr="003870E7" w:rsidRDefault="00173893" w:rsidP="000D6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F2F2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01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CC2D" w14:textId="77777777" w:rsidR="00173893" w:rsidRDefault="00173893" w:rsidP="00173893">
            <w:pPr>
              <w:pStyle w:val="Prrafodelista"/>
              <w:spacing w:after="0" w:line="240" w:lineRule="auto"/>
              <w:ind w:left="-65"/>
              <w:jc w:val="both"/>
            </w:pPr>
            <w:r>
              <w:t>El Manual de Seguridad I</w:t>
            </w:r>
            <w:r w:rsidRPr="00A7613B">
              <w:t>nformática</w:t>
            </w:r>
            <w:r>
              <w:t xml:space="preserve"> presenta las siguientes situaciones:</w:t>
            </w:r>
          </w:p>
          <w:p w14:paraId="28C1800A" w14:textId="77777777" w:rsidR="00903C73" w:rsidRDefault="00903C73" w:rsidP="00173893">
            <w:pPr>
              <w:pStyle w:val="Prrafodelista"/>
              <w:spacing w:after="0" w:line="240" w:lineRule="auto"/>
              <w:ind w:left="-65"/>
              <w:jc w:val="both"/>
            </w:pPr>
          </w:p>
          <w:p w14:paraId="2259C120" w14:textId="77777777" w:rsidR="00173893" w:rsidRPr="00E26AEF" w:rsidRDefault="00173893" w:rsidP="0017389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18"/>
              </w:rPr>
            </w:pPr>
            <w:r>
              <w:t>E</w:t>
            </w:r>
            <w:r w:rsidRPr="00A7613B">
              <w:t>l numeral 4.3.1.5 “Uso y creación de Contraseñas de usuarios de Sistemas de Información”, “La administración de usuarios en los sistemas de información del MEN, debe estar alineada a la Guía de Gestión de Usuarios que tiene por objetivo la creación, actualización e inactivación de usuarios en los diferentes sistemas de información”  al verificar el Sistema Integrado de G</w:t>
            </w:r>
            <w:r>
              <w:t>estión no se encuentra publicada la guía menci</w:t>
            </w:r>
            <w:r w:rsidR="00767C7F">
              <w:t>o</w:t>
            </w:r>
            <w:r>
              <w:t>n</w:t>
            </w:r>
            <w:r w:rsidR="00767C7F">
              <w:t>ada</w:t>
            </w:r>
            <w:r w:rsidRPr="00A7613B">
              <w:t xml:space="preserve">, ocasionando que las actividades relacionadas con la administración de los usuarios no </w:t>
            </w:r>
            <w:r>
              <w:t>se realicen conforme a los requisitos.</w:t>
            </w:r>
            <w:r w:rsidRPr="00A7613B">
              <w:t xml:space="preserve"> </w:t>
            </w:r>
          </w:p>
          <w:p w14:paraId="6852A9A9" w14:textId="77777777" w:rsidR="00173893" w:rsidRPr="0087581D" w:rsidRDefault="00767C7F" w:rsidP="0017389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18"/>
              </w:rPr>
            </w:pPr>
            <w:r>
              <w:t>E</w:t>
            </w:r>
            <w:r w:rsidR="00173893">
              <w:t>l numeral 4.3.1.6 “</w:t>
            </w:r>
            <w:r w:rsidR="00173893" w:rsidRPr="00FA4DB0">
              <w:t xml:space="preserve">Alta y baja de contraseñas de usuarios de Correo, Bases de Datos, </w:t>
            </w:r>
            <w:r w:rsidR="00173893">
              <w:t>Sistemas de Información y Redes”, el cual indica “</w:t>
            </w:r>
            <w:r w:rsidR="00173893" w:rsidRPr="00767C7F">
              <w:rPr>
                <w:i/>
              </w:rPr>
              <w:t>La administración y buen uso de contraseñas es responsabilidad de cada usuario de correo, Bases de Datos, Sistemas de Información, redes y deben estar alineadas con la política de uso y creación de contraseñas seguras.”</w:t>
            </w:r>
            <w:r w:rsidR="00173893">
              <w:t xml:space="preserve"> al verificar el Sistema Integrado de Gestión no se encuentra publicada dicha política.</w:t>
            </w: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ABB6" w14:textId="77777777" w:rsidR="00173893" w:rsidRDefault="00173893" w:rsidP="0017389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Ajustar el Manual de Seguridad Informática, acorde a la documentación con que cuenta el proceso de Gestión de Servicios TIC.</w:t>
            </w:r>
          </w:p>
          <w:p w14:paraId="2D1F2D80" w14:textId="77777777" w:rsidR="00173893" w:rsidRPr="00614D22" w:rsidRDefault="00173893" w:rsidP="0017389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</w:p>
        </w:tc>
      </w:tr>
      <w:tr w:rsidR="00173893" w:rsidRPr="003870E7" w14:paraId="626D65A5" w14:textId="77777777" w:rsidTr="002C78F2">
        <w:trPr>
          <w:trHeight w:val="1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7BB7" w14:textId="77777777" w:rsidR="00173893" w:rsidRPr="003870E7" w:rsidRDefault="00173893" w:rsidP="0017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2DF25" w14:textId="77777777" w:rsidR="00173893" w:rsidRPr="00362966" w:rsidRDefault="00173893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02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42BE" w14:textId="77777777" w:rsidR="00173893" w:rsidRPr="00D9238B" w:rsidRDefault="00173893" w:rsidP="002C78F2">
            <w:pPr>
              <w:pStyle w:val="Prrafodelista"/>
              <w:spacing w:after="0" w:line="240" w:lineRule="auto"/>
              <w:ind w:left="-65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9238B">
              <w:t>La OTSI realiza reuniones de seguimiento mensualmente con el fin de verificar la disponibilidad de los servicios de TI y las solicitudes realizadas por los usuarios en los diferentes canales, sin embargo, esta actividad no se encuentra documentada en los procedimientos correspondientes.</w:t>
            </w: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8449F" w14:textId="77777777" w:rsidR="00173893" w:rsidRPr="00D9238B" w:rsidRDefault="00173893" w:rsidP="0017389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9238B">
              <w:rPr>
                <w:rFonts w:ascii="Calibri" w:eastAsia="Times New Roman" w:hAnsi="Calibri" w:cs="Calibri"/>
                <w:color w:val="000000"/>
                <w:lang w:eastAsia="es-CO"/>
              </w:rPr>
              <w:t>Con apoyo de la SDO evaluar el ajuste del procedimiento “Gestión de Disponibilidad”, para que se documente la actividad de seguimiento y verificación.</w:t>
            </w:r>
          </w:p>
        </w:tc>
      </w:tr>
      <w:tr w:rsidR="00173893" w:rsidRPr="003870E7" w14:paraId="67BE0C68" w14:textId="77777777" w:rsidTr="000E708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5BA3" w14:textId="77777777" w:rsidR="00173893" w:rsidRPr="008F2878" w:rsidRDefault="00173893" w:rsidP="0017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F287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536E1" w14:textId="77777777" w:rsidR="00173893" w:rsidRPr="008F2878" w:rsidRDefault="00173893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03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5E8F" w14:textId="77777777" w:rsidR="00173893" w:rsidRPr="008F2878" w:rsidRDefault="00173893" w:rsidP="00173893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</w:rPr>
            </w:pPr>
            <w:r w:rsidRPr="00445FE7">
              <w:t xml:space="preserve">La disponibilidad de las aplicaciones se realiza por URL, sin embargo, no es posible </w:t>
            </w:r>
            <w:r w:rsidRPr="00D9238B">
              <w:t xml:space="preserve">monitorear por </w:t>
            </w:r>
            <w:r w:rsidR="00D9238B" w:rsidRPr="00D9238B">
              <w:t xml:space="preserve">cada </w:t>
            </w:r>
            <w:r w:rsidRPr="00D9238B">
              <w:t>aplicación</w:t>
            </w:r>
            <w:r w:rsidRPr="00445FE7">
              <w:t>,</w:t>
            </w:r>
            <w:r>
              <w:t xml:space="preserve"> el comportamiento</w:t>
            </w:r>
            <w:r w:rsidRPr="00445FE7">
              <w:t xml:space="preserve"> </w:t>
            </w:r>
            <w:r>
              <w:t xml:space="preserve">individual para establecer las acciones de mejora de manera focalizada. </w:t>
            </w: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6180" w14:textId="77777777" w:rsidR="00173893" w:rsidRPr="008F2878" w:rsidRDefault="00173893" w:rsidP="00173893">
            <w:pPr>
              <w:pStyle w:val="Prrafodelista"/>
              <w:spacing w:after="0" w:line="240" w:lineRule="auto"/>
              <w:ind w:left="0"/>
              <w:jc w:val="both"/>
            </w:pPr>
            <w:r w:rsidRPr="008F2878">
              <w:t>Se recomienda establecer las acciones</w:t>
            </w:r>
            <w:r>
              <w:t xml:space="preserve"> para</w:t>
            </w:r>
            <w:r w:rsidRPr="008F2878">
              <w:t xml:space="preserve"> </w:t>
            </w:r>
            <w:r>
              <w:t>monitorear la disponibilidad por cada aplicativo</w:t>
            </w:r>
            <w:r w:rsidRPr="008F2878">
              <w:t xml:space="preserve">, para </w:t>
            </w:r>
            <w:r>
              <w:t xml:space="preserve">facilitar el </w:t>
            </w:r>
            <w:r w:rsidRPr="008F2878">
              <w:t>seguimiento.</w:t>
            </w:r>
          </w:p>
          <w:p w14:paraId="06904545" w14:textId="77777777" w:rsidR="00173893" w:rsidRPr="001D78DF" w:rsidRDefault="00173893" w:rsidP="00173893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173893" w:rsidRPr="003870E7" w14:paraId="3F96638B" w14:textId="77777777" w:rsidTr="000E708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F4C" w14:textId="77777777" w:rsidR="00173893" w:rsidRPr="003870E7" w:rsidRDefault="00173893" w:rsidP="0017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33E18" w14:textId="77777777" w:rsidR="00173893" w:rsidRPr="00362966" w:rsidRDefault="00173893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04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2145B" w14:textId="77777777" w:rsidR="00173893" w:rsidRPr="00D9238B" w:rsidRDefault="00386429" w:rsidP="00173893">
            <w:pPr>
              <w:pStyle w:val="Prrafodelista"/>
              <w:spacing w:after="0" w:line="240" w:lineRule="auto"/>
              <w:ind w:left="0"/>
              <w:jc w:val="both"/>
            </w:pPr>
            <w:r w:rsidRPr="00D9238B">
              <w:t>Mediante l</w:t>
            </w:r>
            <w:r w:rsidR="00173893" w:rsidRPr="00D9238B">
              <w:t xml:space="preserve">a </w:t>
            </w:r>
            <w:r w:rsidRPr="00D9238B">
              <w:t>C</w:t>
            </w:r>
            <w:r w:rsidR="00173893" w:rsidRPr="00D9238B">
              <w:t xml:space="preserve">ircular 47 del 19 de septiembre de 2017, </w:t>
            </w:r>
            <w:r w:rsidRPr="00D9238B">
              <w:t>se</w:t>
            </w:r>
            <w:r w:rsidR="00173893" w:rsidRPr="00D9238B">
              <w:t xml:space="preserve"> comunica la </w:t>
            </w:r>
            <w:r w:rsidR="00173893" w:rsidRPr="00D9238B">
              <w:rPr>
                <w:b/>
                <w:i/>
              </w:rPr>
              <w:t xml:space="preserve">Política de Servicios de la Oficina de Tecnología y Sistemas de Información, </w:t>
            </w:r>
            <w:r w:rsidR="00173893" w:rsidRPr="00D9238B">
              <w:rPr>
                <w:i/>
              </w:rPr>
              <w:t>a la fecha se encuentra desactualizada en razón a que</w:t>
            </w:r>
            <w:r w:rsidR="00173893" w:rsidRPr="00D9238B">
              <w:rPr>
                <w:b/>
                <w:i/>
              </w:rPr>
              <w:t xml:space="preserve"> </w:t>
            </w:r>
            <w:r w:rsidR="00173893" w:rsidRPr="00D9238B">
              <w:t xml:space="preserve">la </w:t>
            </w:r>
            <w:r w:rsidR="003A6979" w:rsidRPr="00D9238B">
              <w:t>documentación del proceso y e</w:t>
            </w:r>
            <w:r w:rsidR="00173893" w:rsidRPr="00D9238B">
              <w:t>l Manual de Políticas de Servicios TIC fue</w:t>
            </w:r>
            <w:r w:rsidR="003A6979" w:rsidRPr="00D9238B">
              <w:t>ron</w:t>
            </w:r>
            <w:r w:rsidR="00173893" w:rsidRPr="00D9238B">
              <w:t xml:space="preserve"> actualizado</w:t>
            </w:r>
            <w:r w:rsidR="003A6979" w:rsidRPr="00D9238B">
              <w:t>s</w:t>
            </w:r>
            <w:r w:rsidR="00173893" w:rsidRPr="00D9238B">
              <w:t xml:space="preserve"> en junio de 2018 y la citada circular </w:t>
            </w:r>
            <w:r w:rsidR="0053532C" w:rsidRPr="00D9238B">
              <w:t>contiene los</w:t>
            </w:r>
            <w:r w:rsidR="00173893" w:rsidRPr="00D9238B">
              <w:rPr>
                <w:i/>
              </w:rPr>
              <w:t xml:space="preserve"> lineamientos dados en el Manual de Política de Servicios Tic (2016).</w:t>
            </w: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D31B" w14:textId="77777777" w:rsidR="00173893" w:rsidRPr="00D9238B" w:rsidRDefault="00173893" w:rsidP="00173893">
            <w:pPr>
              <w:pStyle w:val="Prrafodelista"/>
              <w:spacing w:after="0" w:line="240" w:lineRule="auto"/>
              <w:ind w:left="0"/>
              <w:jc w:val="both"/>
            </w:pPr>
            <w:r w:rsidRPr="00D9238B">
              <w:t xml:space="preserve">Actualizar la </w:t>
            </w:r>
            <w:r w:rsidR="00386429" w:rsidRPr="00D9238B">
              <w:t>C</w:t>
            </w:r>
            <w:r w:rsidRPr="00D9238B">
              <w:t>ircular 47 teniendo en cuenta los lineamientos del Manual de Políticas de Servicios TIC (2018).</w:t>
            </w:r>
          </w:p>
          <w:p w14:paraId="691689F3" w14:textId="77777777" w:rsidR="00173893" w:rsidRPr="00D9238B" w:rsidRDefault="00173893" w:rsidP="00173893">
            <w:pPr>
              <w:pStyle w:val="Prrafodelista"/>
              <w:spacing w:after="0" w:line="240" w:lineRule="auto"/>
              <w:ind w:left="0"/>
              <w:jc w:val="both"/>
            </w:pPr>
          </w:p>
          <w:p w14:paraId="20B712A2" w14:textId="77777777" w:rsidR="00173893" w:rsidRPr="00D9238B" w:rsidRDefault="00173893" w:rsidP="00173893">
            <w:pPr>
              <w:pStyle w:val="Prrafodelista"/>
              <w:spacing w:after="0" w:line="240" w:lineRule="auto"/>
              <w:ind w:left="0"/>
              <w:jc w:val="both"/>
            </w:pPr>
            <w:r w:rsidRPr="00D9238B">
              <w:t>De igual manera al actualizar este documento es pertinente socializarlo y darlo a conocer, para garantizar su cumplimiento.</w:t>
            </w:r>
          </w:p>
          <w:p w14:paraId="2A52A526" w14:textId="77777777" w:rsidR="00173893" w:rsidRPr="00D9238B" w:rsidRDefault="00173893" w:rsidP="00173893">
            <w:pPr>
              <w:tabs>
                <w:tab w:val="left" w:pos="183"/>
              </w:tabs>
              <w:spacing w:after="0" w:line="240" w:lineRule="auto"/>
              <w:jc w:val="both"/>
            </w:pPr>
          </w:p>
        </w:tc>
      </w:tr>
      <w:tr w:rsidR="00173893" w:rsidRPr="003870E7" w14:paraId="07BC08B5" w14:textId="77777777" w:rsidTr="000E708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A2F1" w14:textId="77777777" w:rsidR="00173893" w:rsidRPr="003870E7" w:rsidRDefault="00173893" w:rsidP="0017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8AA0D" w14:textId="77777777" w:rsidR="00173893" w:rsidRDefault="00173893" w:rsidP="000D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05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9EE5" w14:textId="77777777" w:rsidR="00173893" w:rsidRDefault="00173893" w:rsidP="003A6979">
            <w:pPr>
              <w:pStyle w:val="Prrafodelista"/>
              <w:spacing w:after="0" w:line="240" w:lineRule="auto"/>
              <w:ind w:left="0"/>
              <w:jc w:val="both"/>
            </w:pPr>
            <w:r>
              <w:t>E</w:t>
            </w:r>
            <w:r w:rsidRPr="007F2F2F">
              <w:t xml:space="preserve">l </w:t>
            </w:r>
            <w:r w:rsidRPr="007F2F2F">
              <w:rPr>
                <w:i/>
              </w:rPr>
              <w:t>Manual de política de seguridad informática</w:t>
            </w:r>
            <w:r>
              <w:rPr>
                <w:i/>
              </w:rPr>
              <w:t xml:space="preserve">, </w:t>
            </w:r>
            <w:r w:rsidRPr="007F2F2F">
              <w:t xml:space="preserve">define y establece los lineamientos para garantizar la calidad, confiabilidad, integridad, disponibilidad y eficiencia de los servicios, sin embargo, no </w:t>
            </w:r>
            <w:r>
              <w:t>incluyó</w:t>
            </w:r>
            <w:r w:rsidRPr="007F2F2F">
              <w:t xml:space="preserve"> la administración y los controles de seguridad de la creación y acceso a las carpetas compartidas que actualmente están alojadas en la NAS.</w:t>
            </w:r>
          </w:p>
          <w:p w14:paraId="48FC9FCB" w14:textId="77777777" w:rsidR="00386429" w:rsidRPr="00C63677" w:rsidRDefault="00386429" w:rsidP="003A6979">
            <w:pPr>
              <w:pStyle w:val="Prrafodelista"/>
              <w:spacing w:after="0" w:line="240" w:lineRule="auto"/>
              <w:ind w:left="0"/>
              <w:jc w:val="both"/>
            </w:pP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F81A" w14:textId="77777777" w:rsidR="00173893" w:rsidRDefault="00173893" w:rsidP="00173893">
            <w:pPr>
              <w:pStyle w:val="Prrafodelista"/>
              <w:spacing w:after="0" w:line="240" w:lineRule="auto"/>
              <w:ind w:left="0"/>
              <w:jc w:val="both"/>
            </w:pPr>
            <w:r>
              <w:t xml:space="preserve">Incluir dentro de las políticas o lineamientos de seguridad </w:t>
            </w:r>
            <w:r w:rsidRPr="00A8080A">
              <w:t>informática la administración, así como las vulnerabilidades</w:t>
            </w:r>
            <w:r>
              <w:t xml:space="preserve"> del uso de las carpetas compartidas que actualmente se alojan en la NAS</w:t>
            </w:r>
          </w:p>
          <w:p w14:paraId="545CD09D" w14:textId="77777777" w:rsidR="00173893" w:rsidRDefault="00173893" w:rsidP="00173893">
            <w:pPr>
              <w:pStyle w:val="Prrafodelista"/>
              <w:spacing w:after="0" w:line="240" w:lineRule="auto"/>
              <w:ind w:left="0"/>
              <w:jc w:val="both"/>
            </w:pPr>
          </w:p>
        </w:tc>
      </w:tr>
      <w:tr w:rsidR="00173893" w:rsidRPr="003870E7" w14:paraId="72739074" w14:textId="77777777" w:rsidTr="000E7086">
        <w:trPr>
          <w:trHeight w:val="300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9EC" w14:textId="77777777" w:rsidR="00173893" w:rsidRDefault="00173893" w:rsidP="001738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LÍDER DEL EQUIPO AUDITOR: </w:t>
            </w:r>
            <w:r w:rsidRPr="00516E2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Mónica Alexandra González Moreno</w:t>
            </w:r>
          </w:p>
          <w:p w14:paraId="3BD195FB" w14:textId="77777777" w:rsidR="00386429" w:rsidRPr="003870E7" w:rsidRDefault="00386429" w:rsidP="00173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173893" w:rsidRPr="003870E7" w14:paraId="128590B5" w14:textId="77777777" w:rsidTr="000E7086">
        <w:trPr>
          <w:trHeight w:val="465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9CEA" w14:textId="77777777" w:rsidR="00173893" w:rsidRPr="003870E7" w:rsidRDefault="00173893" w:rsidP="00173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JEFE </w:t>
            </w:r>
            <w:r w:rsidR="000E70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OFICINA </w:t>
            </w:r>
            <w:r w:rsidRPr="003870E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DE CONTROL INTERNO: </w:t>
            </w:r>
            <w:r w:rsidRPr="00516E2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María Helena Ord</w:t>
            </w:r>
            <w:r w:rsidR="000E7086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ó</w:t>
            </w:r>
            <w:r w:rsidRPr="00516E2B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ñez Burbano</w:t>
            </w:r>
          </w:p>
        </w:tc>
      </w:tr>
    </w:tbl>
    <w:p w14:paraId="290D1F1C" w14:textId="77777777" w:rsidR="003870E7" w:rsidRDefault="003870E7" w:rsidP="00DF336C">
      <w:pPr>
        <w:spacing w:after="0" w:line="240" w:lineRule="auto"/>
      </w:pPr>
    </w:p>
    <w:p w14:paraId="776F4737" w14:textId="77777777" w:rsidR="00DF336C" w:rsidRDefault="00DF336C" w:rsidP="00DF336C">
      <w:pPr>
        <w:spacing w:after="0" w:line="240" w:lineRule="auto"/>
      </w:pPr>
    </w:p>
    <w:p w14:paraId="030C0537" w14:textId="77777777" w:rsidR="00C77A4C" w:rsidRDefault="00C77A4C"/>
    <w:p w14:paraId="7F30C8BF" w14:textId="77777777" w:rsidR="00C77A4C" w:rsidRDefault="00C77A4C"/>
    <w:sectPr w:rsidR="00C77A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281"/>
    <w:multiLevelType w:val="hybridMultilevel"/>
    <w:tmpl w:val="CD084ABA"/>
    <w:lvl w:ilvl="0" w:tplc="2334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601"/>
    <w:multiLevelType w:val="hybridMultilevel"/>
    <w:tmpl w:val="91364448"/>
    <w:lvl w:ilvl="0" w:tplc="2D84AB8A">
      <w:numFmt w:val="bullet"/>
      <w:lvlText w:val="-"/>
      <w:lvlJc w:val="left"/>
      <w:pPr>
        <w:ind w:left="1071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0DD85C84"/>
    <w:multiLevelType w:val="hybridMultilevel"/>
    <w:tmpl w:val="A768CD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3D65"/>
    <w:multiLevelType w:val="hybridMultilevel"/>
    <w:tmpl w:val="A626806E"/>
    <w:lvl w:ilvl="0" w:tplc="5F70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A7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F1889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C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1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05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0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26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6E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35008"/>
    <w:multiLevelType w:val="hybridMultilevel"/>
    <w:tmpl w:val="46E2CD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E314F"/>
    <w:multiLevelType w:val="hybridMultilevel"/>
    <w:tmpl w:val="88B86E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B281A"/>
    <w:multiLevelType w:val="hybridMultilevel"/>
    <w:tmpl w:val="8BEEB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7000"/>
    <w:multiLevelType w:val="hybridMultilevel"/>
    <w:tmpl w:val="D5C0AA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7852"/>
    <w:multiLevelType w:val="hybridMultilevel"/>
    <w:tmpl w:val="85708D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CBE"/>
    <w:multiLevelType w:val="hybridMultilevel"/>
    <w:tmpl w:val="67B89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6E39"/>
    <w:multiLevelType w:val="hybridMultilevel"/>
    <w:tmpl w:val="1AD24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1D51"/>
    <w:multiLevelType w:val="hybridMultilevel"/>
    <w:tmpl w:val="C1BE3C02"/>
    <w:lvl w:ilvl="0" w:tplc="608092C8">
      <w:start w:val="97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4B35"/>
    <w:multiLevelType w:val="hybridMultilevel"/>
    <w:tmpl w:val="A2F28C9E"/>
    <w:lvl w:ilvl="0" w:tplc="7ABA9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8540C"/>
    <w:multiLevelType w:val="hybridMultilevel"/>
    <w:tmpl w:val="E1FE77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0CE6"/>
    <w:multiLevelType w:val="hybridMultilevel"/>
    <w:tmpl w:val="C5480C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8655F"/>
    <w:multiLevelType w:val="hybridMultilevel"/>
    <w:tmpl w:val="71AC6F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243F0"/>
    <w:multiLevelType w:val="hybridMultilevel"/>
    <w:tmpl w:val="27C88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121F"/>
    <w:multiLevelType w:val="hybridMultilevel"/>
    <w:tmpl w:val="66BEF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67F77"/>
    <w:multiLevelType w:val="hybridMultilevel"/>
    <w:tmpl w:val="DB281CD0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38EA3904"/>
    <w:multiLevelType w:val="hybridMultilevel"/>
    <w:tmpl w:val="663099E0"/>
    <w:lvl w:ilvl="0" w:tplc="B1A80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20291"/>
    <w:multiLevelType w:val="hybridMultilevel"/>
    <w:tmpl w:val="88127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E28EF"/>
    <w:multiLevelType w:val="hybridMultilevel"/>
    <w:tmpl w:val="53B83F1A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4A833ACE"/>
    <w:multiLevelType w:val="hybridMultilevel"/>
    <w:tmpl w:val="9C722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C0B"/>
    <w:multiLevelType w:val="hybridMultilevel"/>
    <w:tmpl w:val="D7A42946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4CB86CC0"/>
    <w:multiLevelType w:val="hybridMultilevel"/>
    <w:tmpl w:val="7AFC8BC4"/>
    <w:lvl w:ilvl="0" w:tplc="494A0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8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8C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2C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C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6D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2E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45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041405"/>
    <w:multiLevelType w:val="hybridMultilevel"/>
    <w:tmpl w:val="69F8D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F5BD8"/>
    <w:multiLevelType w:val="hybridMultilevel"/>
    <w:tmpl w:val="443AFA18"/>
    <w:lvl w:ilvl="0" w:tplc="2D84AB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486E"/>
    <w:multiLevelType w:val="hybridMultilevel"/>
    <w:tmpl w:val="9B86D1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50569F"/>
    <w:multiLevelType w:val="hybridMultilevel"/>
    <w:tmpl w:val="90601554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588F408A"/>
    <w:multiLevelType w:val="hybridMultilevel"/>
    <w:tmpl w:val="40EC22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F2A2A"/>
    <w:multiLevelType w:val="hybridMultilevel"/>
    <w:tmpl w:val="8FA431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B22009"/>
    <w:multiLevelType w:val="hybridMultilevel"/>
    <w:tmpl w:val="DFCADF6C"/>
    <w:lvl w:ilvl="0" w:tplc="FC784516">
      <w:start w:val="1"/>
      <w:numFmt w:val="lowerLetter"/>
      <w:lvlText w:val="%1)"/>
      <w:lvlJc w:val="left"/>
      <w:pPr>
        <w:ind w:left="295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15" w:hanging="360"/>
      </w:pPr>
    </w:lvl>
    <w:lvl w:ilvl="2" w:tplc="240A001B" w:tentative="1">
      <w:start w:val="1"/>
      <w:numFmt w:val="lowerRoman"/>
      <w:lvlText w:val="%3."/>
      <w:lvlJc w:val="right"/>
      <w:pPr>
        <w:ind w:left="1735" w:hanging="180"/>
      </w:pPr>
    </w:lvl>
    <w:lvl w:ilvl="3" w:tplc="240A000F" w:tentative="1">
      <w:start w:val="1"/>
      <w:numFmt w:val="decimal"/>
      <w:lvlText w:val="%4."/>
      <w:lvlJc w:val="left"/>
      <w:pPr>
        <w:ind w:left="2455" w:hanging="360"/>
      </w:pPr>
    </w:lvl>
    <w:lvl w:ilvl="4" w:tplc="240A0019" w:tentative="1">
      <w:start w:val="1"/>
      <w:numFmt w:val="lowerLetter"/>
      <w:lvlText w:val="%5."/>
      <w:lvlJc w:val="left"/>
      <w:pPr>
        <w:ind w:left="3175" w:hanging="360"/>
      </w:pPr>
    </w:lvl>
    <w:lvl w:ilvl="5" w:tplc="240A001B" w:tentative="1">
      <w:start w:val="1"/>
      <w:numFmt w:val="lowerRoman"/>
      <w:lvlText w:val="%6."/>
      <w:lvlJc w:val="right"/>
      <w:pPr>
        <w:ind w:left="3895" w:hanging="180"/>
      </w:pPr>
    </w:lvl>
    <w:lvl w:ilvl="6" w:tplc="240A000F" w:tentative="1">
      <w:start w:val="1"/>
      <w:numFmt w:val="decimal"/>
      <w:lvlText w:val="%7."/>
      <w:lvlJc w:val="left"/>
      <w:pPr>
        <w:ind w:left="4615" w:hanging="360"/>
      </w:pPr>
    </w:lvl>
    <w:lvl w:ilvl="7" w:tplc="240A0019" w:tentative="1">
      <w:start w:val="1"/>
      <w:numFmt w:val="lowerLetter"/>
      <w:lvlText w:val="%8."/>
      <w:lvlJc w:val="left"/>
      <w:pPr>
        <w:ind w:left="5335" w:hanging="360"/>
      </w:pPr>
    </w:lvl>
    <w:lvl w:ilvl="8" w:tplc="24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2" w15:restartNumberingAfterBreak="0">
    <w:nsid w:val="713B4517"/>
    <w:multiLevelType w:val="hybridMultilevel"/>
    <w:tmpl w:val="5380DD52"/>
    <w:lvl w:ilvl="0" w:tplc="A46AE1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F0D54"/>
    <w:multiLevelType w:val="hybridMultilevel"/>
    <w:tmpl w:val="7D50C2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A53C8"/>
    <w:multiLevelType w:val="hybridMultilevel"/>
    <w:tmpl w:val="5E5A27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6"/>
  </w:num>
  <w:num w:numId="4">
    <w:abstractNumId w:val="29"/>
  </w:num>
  <w:num w:numId="5">
    <w:abstractNumId w:val="2"/>
  </w:num>
  <w:num w:numId="6">
    <w:abstractNumId w:val="8"/>
  </w:num>
  <w:num w:numId="7">
    <w:abstractNumId w:val="4"/>
  </w:num>
  <w:num w:numId="8">
    <w:abstractNumId w:val="30"/>
  </w:num>
  <w:num w:numId="9">
    <w:abstractNumId w:val="15"/>
  </w:num>
  <w:num w:numId="10">
    <w:abstractNumId w:val="20"/>
  </w:num>
  <w:num w:numId="11">
    <w:abstractNumId w:val="6"/>
  </w:num>
  <w:num w:numId="12">
    <w:abstractNumId w:val="9"/>
  </w:num>
  <w:num w:numId="13">
    <w:abstractNumId w:val="0"/>
  </w:num>
  <w:num w:numId="14">
    <w:abstractNumId w:val="22"/>
  </w:num>
  <w:num w:numId="15">
    <w:abstractNumId w:val="14"/>
  </w:num>
  <w:num w:numId="16">
    <w:abstractNumId w:val="27"/>
  </w:num>
  <w:num w:numId="17">
    <w:abstractNumId w:val="17"/>
  </w:num>
  <w:num w:numId="18">
    <w:abstractNumId w:val="3"/>
  </w:num>
  <w:num w:numId="19">
    <w:abstractNumId w:val="28"/>
  </w:num>
  <w:num w:numId="20">
    <w:abstractNumId w:val="23"/>
  </w:num>
  <w:num w:numId="21">
    <w:abstractNumId w:val="21"/>
  </w:num>
  <w:num w:numId="22">
    <w:abstractNumId w:val="18"/>
  </w:num>
  <w:num w:numId="23">
    <w:abstractNumId w:val="11"/>
  </w:num>
  <w:num w:numId="24">
    <w:abstractNumId w:val="7"/>
  </w:num>
  <w:num w:numId="25">
    <w:abstractNumId w:val="13"/>
  </w:num>
  <w:num w:numId="26">
    <w:abstractNumId w:val="19"/>
  </w:num>
  <w:num w:numId="27">
    <w:abstractNumId w:val="34"/>
  </w:num>
  <w:num w:numId="28">
    <w:abstractNumId w:val="5"/>
  </w:num>
  <w:num w:numId="29">
    <w:abstractNumId w:val="24"/>
  </w:num>
  <w:num w:numId="30">
    <w:abstractNumId w:val="1"/>
  </w:num>
  <w:num w:numId="31">
    <w:abstractNumId w:val="10"/>
  </w:num>
  <w:num w:numId="32">
    <w:abstractNumId w:val="25"/>
  </w:num>
  <w:num w:numId="33">
    <w:abstractNumId w:val="16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E7"/>
    <w:rsid w:val="000008A9"/>
    <w:rsid w:val="000038B4"/>
    <w:rsid w:val="00005297"/>
    <w:rsid w:val="000127E0"/>
    <w:rsid w:val="0002565D"/>
    <w:rsid w:val="00032B1E"/>
    <w:rsid w:val="000603A9"/>
    <w:rsid w:val="00064B38"/>
    <w:rsid w:val="000676FD"/>
    <w:rsid w:val="00072B81"/>
    <w:rsid w:val="00094ACC"/>
    <w:rsid w:val="000A157D"/>
    <w:rsid w:val="000A2849"/>
    <w:rsid w:val="000A7F5B"/>
    <w:rsid w:val="000C0FFC"/>
    <w:rsid w:val="000C1307"/>
    <w:rsid w:val="000C1741"/>
    <w:rsid w:val="000C3AD4"/>
    <w:rsid w:val="000C50DF"/>
    <w:rsid w:val="000C73C2"/>
    <w:rsid w:val="000D0751"/>
    <w:rsid w:val="000D3C48"/>
    <w:rsid w:val="000D6C2A"/>
    <w:rsid w:val="000E2C34"/>
    <w:rsid w:val="000E3420"/>
    <w:rsid w:val="000E48D7"/>
    <w:rsid w:val="000E59FA"/>
    <w:rsid w:val="000E67BA"/>
    <w:rsid w:val="000E7086"/>
    <w:rsid w:val="000F02C8"/>
    <w:rsid w:val="000F3949"/>
    <w:rsid w:val="000F6EA1"/>
    <w:rsid w:val="000F76E9"/>
    <w:rsid w:val="000F7BE4"/>
    <w:rsid w:val="0010384B"/>
    <w:rsid w:val="001054C1"/>
    <w:rsid w:val="00105BA6"/>
    <w:rsid w:val="00106ABC"/>
    <w:rsid w:val="00107B4A"/>
    <w:rsid w:val="00107BA7"/>
    <w:rsid w:val="001123C4"/>
    <w:rsid w:val="001147EA"/>
    <w:rsid w:val="001353B6"/>
    <w:rsid w:val="00145D3B"/>
    <w:rsid w:val="0015601F"/>
    <w:rsid w:val="00156134"/>
    <w:rsid w:val="00163CF3"/>
    <w:rsid w:val="00165C4E"/>
    <w:rsid w:val="00170ABE"/>
    <w:rsid w:val="00173893"/>
    <w:rsid w:val="00175827"/>
    <w:rsid w:val="0018180B"/>
    <w:rsid w:val="00185C43"/>
    <w:rsid w:val="00191F33"/>
    <w:rsid w:val="00193D1B"/>
    <w:rsid w:val="00194950"/>
    <w:rsid w:val="001A207B"/>
    <w:rsid w:val="001B2758"/>
    <w:rsid w:val="001B3BE4"/>
    <w:rsid w:val="001B6A94"/>
    <w:rsid w:val="001C13BE"/>
    <w:rsid w:val="001C2879"/>
    <w:rsid w:val="001C30BB"/>
    <w:rsid w:val="001C7334"/>
    <w:rsid w:val="001D78DF"/>
    <w:rsid w:val="001E274F"/>
    <w:rsid w:val="001F4133"/>
    <w:rsid w:val="00200093"/>
    <w:rsid w:val="0020087E"/>
    <w:rsid w:val="00204F45"/>
    <w:rsid w:val="002075F9"/>
    <w:rsid w:val="002106AD"/>
    <w:rsid w:val="00210DBF"/>
    <w:rsid w:val="00223BA1"/>
    <w:rsid w:val="0022500F"/>
    <w:rsid w:val="00232502"/>
    <w:rsid w:val="002327AE"/>
    <w:rsid w:val="002379C0"/>
    <w:rsid w:val="002438EB"/>
    <w:rsid w:val="002479C7"/>
    <w:rsid w:val="00247C42"/>
    <w:rsid w:val="00251865"/>
    <w:rsid w:val="00252855"/>
    <w:rsid w:val="00252E03"/>
    <w:rsid w:val="002549ED"/>
    <w:rsid w:val="00260184"/>
    <w:rsid w:val="00260237"/>
    <w:rsid w:val="00261AA8"/>
    <w:rsid w:val="00262194"/>
    <w:rsid w:val="00263E5E"/>
    <w:rsid w:val="0026506C"/>
    <w:rsid w:val="00266CAF"/>
    <w:rsid w:val="00270573"/>
    <w:rsid w:val="00286FB6"/>
    <w:rsid w:val="0029056A"/>
    <w:rsid w:val="00295B59"/>
    <w:rsid w:val="002A3D90"/>
    <w:rsid w:val="002A5CD9"/>
    <w:rsid w:val="002B1BC1"/>
    <w:rsid w:val="002B4FAE"/>
    <w:rsid w:val="002B5899"/>
    <w:rsid w:val="002C1D6B"/>
    <w:rsid w:val="002C78F2"/>
    <w:rsid w:val="002D08A5"/>
    <w:rsid w:val="002D1135"/>
    <w:rsid w:val="002D4B35"/>
    <w:rsid w:val="002D7B4F"/>
    <w:rsid w:val="002E1893"/>
    <w:rsid w:val="002E546F"/>
    <w:rsid w:val="002F5A64"/>
    <w:rsid w:val="00300C2E"/>
    <w:rsid w:val="003124AF"/>
    <w:rsid w:val="00341831"/>
    <w:rsid w:val="00345BC3"/>
    <w:rsid w:val="0034707F"/>
    <w:rsid w:val="00347A2A"/>
    <w:rsid w:val="003558E0"/>
    <w:rsid w:val="003559AA"/>
    <w:rsid w:val="00362966"/>
    <w:rsid w:val="00363220"/>
    <w:rsid w:val="00365228"/>
    <w:rsid w:val="003662A3"/>
    <w:rsid w:val="00366E77"/>
    <w:rsid w:val="00380666"/>
    <w:rsid w:val="00380CA2"/>
    <w:rsid w:val="003837DD"/>
    <w:rsid w:val="00384F5B"/>
    <w:rsid w:val="00386429"/>
    <w:rsid w:val="003870E7"/>
    <w:rsid w:val="00395B1A"/>
    <w:rsid w:val="003A0292"/>
    <w:rsid w:val="003A1F5A"/>
    <w:rsid w:val="003A472B"/>
    <w:rsid w:val="003A6979"/>
    <w:rsid w:val="003C17B3"/>
    <w:rsid w:val="003C2E84"/>
    <w:rsid w:val="003C4EC0"/>
    <w:rsid w:val="003C5CD5"/>
    <w:rsid w:val="003E6FEA"/>
    <w:rsid w:val="003E74D3"/>
    <w:rsid w:val="003F24AF"/>
    <w:rsid w:val="003F2E31"/>
    <w:rsid w:val="0041314A"/>
    <w:rsid w:val="00425369"/>
    <w:rsid w:val="00431167"/>
    <w:rsid w:val="00431ECD"/>
    <w:rsid w:val="00440EBB"/>
    <w:rsid w:val="00441AA8"/>
    <w:rsid w:val="00444DF9"/>
    <w:rsid w:val="00445CE1"/>
    <w:rsid w:val="00445FE7"/>
    <w:rsid w:val="004502E5"/>
    <w:rsid w:val="004573C8"/>
    <w:rsid w:val="0046149A"/>
    <w:rsid w:val="00480F05"/>
    <w:rsid w:val="004961A8"/>
    <w:rsid w:val="004A3A1C"/>
    <w:rsid w:val="004B21A5"/>
    <w:rsid w:val="004C2F64"/>
    <w:rsid w:val="004D019F"/>
    <w:rsid w:val="004D36A8"/>
    <w:rsid w:val="004D4EBB"/>
    <w:rsid w:val="004E20CE"/>
    <w:rsid w:val="004E268B"/>
    <w:rsid w:val="004E28D9"/>
    <w:rsid w:val="004E4413"/>
    <w:rsid w:val="00500AFD"/>
    <w:rsid w:val="00501019"/>
    <w:rsid w:val="00503E12"/>
    <w:rsid w:val="00516E2B"/>
    <w:rsid w:val="00521E4F"/>
    <w:rsid w:val="005276E9"/>
    <w:rsid w:val="00532135"/>
    <w:rsid w:val="00532E0B"/>
    <w:rsid w:val="0053532C"/>
    <w:rsid w:val="00543DE3"/>
    <w:rsid w:val="005528C7"/>
    <w:rsid w:val="00554364"/>
    <w:rsid w:val="005545B9"/>
    <w:rsid w:val="00560023"/>
    <w:rsid w:val="005629FC"/>
    <w:rsid w:val="00563604"/>
    <w:rsid w:val="0057038A"/>
    <w:rsid w:val="005712C7"/>
    <w:rsid w:val="00572188"/>
    <w:rsid w:val="0057356D"/>
    <w:rsid w:val="005871FD"/>
    <w:rsid w:val="00590043"/>
    <w:rsid w:val="0059170D"/>
    <w:rsid w:val="005960BA"/>
    <w:rsid w:val="005978AB"/>
    <w:rsid w:val="005A59F0"/>
    <w:rsid w:val="005B15FF"/>
    <w:rsid w:val="005C4B03"/>
    <w:rsid w:val="005C4B95"/>
    <w:rsid w:val="005C53A5"/>
    <w:rsid w:val="005E2637"/>
    <w:rsid w:val="005E456D"/>
    <w:rsid w:val="005E470A"/>
    <w:rsid w:val="005E6F66"/>
    <w:rsid w:val="005E7B7E"/>
    <w:rsid w:val="0060091C"/>
    <w:rsid w:val="006048BA"/>
    <w:rsid w:val="00610E96"/>
    <w:rsid w:val="0061416A"/>
    <w:rsid w:val="00614D22"/>
    <w:rsid w:val="006209D5"/>
    <w:rsid w:val="00622957"/>
    <w:rsid w:val="00623923"/>
    <w:rsid w:val="00660C76"/>
    <w:rsid w:val="00664DA2"/>
    <w:rsid w:val="006651B9"/>
    <w:rsid w:val="006656DD"/>
    <w:rsid w:val="00670131"/>
    <w:rsid w:val="00673DB0"/>
    <w:rsid w:val="00684484"/>
    <w:rsid w:val="00685850"/>
    <w:rsid w:val="00690222"/>
    <w:rsid w:val="00690661"/>
    <w:rsid w:val="00694479"/>
    <w:rsid w:val="0069642B"/>
    <w:rsid w:val="006A064C"/>
    <w:rsid w:val="006B1309"/>
    <w:rsid w:val="006B45AB"/>
    <w:rsid w:val="006B71AC"/>
    <w:rsid w:val="006C007B"/>
    <w:rsid w:val="006D4A07"/>
    <w:rsid w:val="006F21B7"/>
    <w:rsid w:val="006F350A"/>
    <w:rsid w:val="00714407"/>
    <w:rsid w:val="00730CD8"/>
    <w:rsid w:val="007314FC"/>
    <w:rsid w:val="00734C7F"/>
    <w:rsid w:val="00735FC6"/>
    <w:rsid w:val="00737403"/>
    <w:rsid w:val="00741D6B"/>
    <w:rsid w:val="00744638"/>
    <w:rsid w:val="00751697"/>
    <w:rsid w:val="00751F93"/>
    <w:rsid w:val="00753628"/>
    <w:rsid w:val="007607A7"/>
    <w:rsid w:val="00767C7F"/>
    <w:rsid w:val="0077492B"/>
    <w:rsid w:val="0077792E"/>
    <w:rsid w:val="00780F2D"/>
    <w:rsid w:val="00786AF3"/>
    <w:rsid w:val="00790292"/>
    <w:rsid w:val="007924AE"/>
    <w:rsid w:val="00792A40"/>
    <w:rsid w:val="00796E3A"/>
    <w:rsid w:val="007A30FF"/>
    <w:rsid w:val="007A7BEF"/>
    <w:rsid w:val="007B0FF2"/>
    <w:rsid w:val="007B2A0D"/>
    <w:rsid w:val="007B32EC"/>
    <w:rsid w:val="007B4D53"/>
    <w:rsid w:val="007C433D"/>
    <w:rsid w:val="007E116B"/>
    <w:rsid w:val="007F228A"/>
    <w:rsid w:val="007F2F2F"/>
    <w:rsid w:val="007F4E5D"/>
    <w:rsid w:val="008043EC"/>
    <w:rsid w:val="00805BFF"/>
    <w:rsid w:val="00811988"/>
    <w:rsid w:val="0081271E"/>
    <w:rsid w:val="00820839"/>
    <w:rsid w:val="00824E5A"/>
    <w:rsid w:val="00840185"/>
    <w:rsid w:val="008459AC"/>
    <w:rsid w:val="00853FE7"/>
    <w:rsid w:val="00872730"/>
    <w:rsid w:val="0087581D"/>
    <w:rsid w:val="00891F1A"/>
    <w:rsid w:val="00892D09"/>
    <w:rsid w:val="00896A15"/>
    <w:rsid w:val="008A14E8"/>
    <w:rsid w:val="008A2BD9"/>
    <w:rsid w:val="008D6761"/>
    <w:rsid w:val="008E12D2"/>
    <w:rsid w:val="008E3D2D"/>
    <w:rsid w:val="008E5EE6"/>
    <w:rsid w:val="008F2878"/>
    <w:rsid w:val="008F5FD2"/>
    <w:rsid w:val="008F6790"/>
    <w:rsid w:val="0090292E"/>
    <w:rsid w:val="00903C73"/>
    <w:rsid w:val="00904403"/>
    <w:rsid w:val="00905CB3"/>
    <w:rsid w:val="00907A81"/>
    <w:rsid w:val="00922842"/>
    <w:rsid w:val="0092464A"/>
    <w:rsid w:val="00931FA7"/>
    <w:rsid w:val="00936283"/>
    <w:rsid w:val="009409D6"/>
    <w:rsid w:val="00946EE0"/>
    <w:rsid w:val="00950566"/>
    <w:rsid w:val="0095193E"/>
    <w:rsid w:val="009520DB"/>
    <w:rsid w:val="009611E4"/>
    <w:rsid w:val="00965E69"/>
    <w:rsid w:val="00967281"/>
    <w:rsid w:val="00972F7A"/>
    <w:rsid w:val="00983BBB"/>
    <w:rsid w:val="00990BC4"/>
    <w:rsid w:val="00996C1E"/>
    <w:rsid w:val="009973EF"/>
    <w:rsid w:val="009A12FF"/>
    <w:rsid w:val="009B3D70"/>
    <w:rsid w:val="009C1314"/>
    <w:rsid w:val="009C1C85"/>
    <w:rsid w:val="009E1C45"/>
    <w:rsid w:val="009E3CA8"/>
    <w:rsid w:val="009E7016"/>
    <w:rsid w:val="009E77BF"/>
    <w:rsid w:val="009E785A"/>
    <w:rsid w:val="009F3733"/>
    <w:rsid w:val="00A02542"/>
    <w:rsid w:val="00A05C75"/>
    <w:rsid w:val="00A064DA"/>
    <w:rsid w:val="00A06A15"/>
    <w:rsid w:val="00A13138"/>
    <w:rsid w:val="00A231BA"/>
    <w:rsid w:val="00A249D1"/>
    <w:rsid w:val="00A273F8"/>
    <w:rsid w:val="00A27EF1"/>
    <w:rsid w:val="00A50CA9"/>
    <w:rsid w:val="00A5314D"/>
    <w:rsid w:val="00A62AAC"/>
    <w:rsid w:val="00A70037"/>
    <w:rsid w:val="00A722A1"/>
    <w:rsid w:val="00A737DF"/>
    <w:rsid w:val="00A8080A"/>
    <w:rsid w:val="00A95477"/>
    <w:rsid w:val="00AA46A8"/>
    <w:rsid w:val="00AA6F07"/>
    <w:rsid w:val="00AB16D7"/>
    <w:rsid w:val="00AC37F5"/>
    <w:rsid w:val="00AD4950"/>
    <w:rsid w:val="00AE39C6"/>
    <w:rsid w:val="00AE3AA7"/>
    <w:rsid w:val="00AE6D52"/>
    <w:rsid w:val="00AE7F1E"/>
    <w:rsid w:val="00AF24A2"/>
    <w:rsid w:val="00AF27CD"/>
    <w:rsid w:val="00AF3EC7"/>
    <w:rsid w:val="00AF6DE8"/>
    <w:rsid w:val="00AF7F3D"/>
    <w:rsid w:val="00B0491C"/>
    <w:rsid w:val="00B103C4"/>
    <w:rsid w:val="00B12449"/>
    <w:rsid w:val="00B16AAE"/>
    <w:rsid w:val="00B2163F"/>
    <w:rsid w:val="00B254C9"/>
    <w:rsid w:val="00B31A4A"/>
    <w:rsid w:val="00B355A6"/>
    <w:rsid w:val="00B3708A"/>
    <w:rsid w:val="00B422B0"/>
    <w:rsid w:val="00B44012"/>
    <w:rsid w:val="00B54E99"/>
    <w:rsid w:val="00B5739C"/>
    <w:rsid w:val="00B67EFE"/>
    <w:rsid w:val="00B74B74"/>
    <w:rsid w:val="00B75901"/>
    <w:rsid w:val="00B84A51"/>
    <w:rsid w:val="00B86D26"/>
    <w:rsid w:val="00B95EA8"/>
    <w:rsid w:val="00BA17F1"/>
    <w:rsid w:val="00BA6C60"/>
    <w:rsid w:val="00BB0315"/>
    <w:rsid w:val="00BB533A"/>
    <w:rsid w:val="00BE1206"/>
    <w:rsid w:val="00BE1B7A"/>
    <w:rsid w:val="00BE1FED"/>
    <w:rsid w:val="00BE49AD"/>
    <w:rsid w:val="00BE62FE"/>
    <w:rsid w:val="00BF5AE5"/>
    <w:rsid w:val="00C02BA9"/>
    <w:rsid w:val="00C07BF8"/>
    <w:rsid w:val="00C101D8"/>
    <w:rsid w:val="00C10855"/>
    <w:rsid w:val="00C12488"/>
    <w:rsid w:val="00C201E8"/>
    <w:rsid w:val="00C27F0C"/>
    <w:rsid w:val="00C31DC8"/>
    <w:rsid w:val="00C32724"/>
    <w:rsid w:val="00C33941"/>
    <w:rsid w:val="00C44DBD"/>
    <w:rsid w:val="00C52812"/>
    <w:rsid w:val="00C5492B"/>
    <w:rsid w:val="00C56010"/>
    <w:rsid w:val="00C63677"/>
    <w:rsid w:val="00C65514"/>
    <w:rsid w:val="00C705FD"/>
    <w:rsid w:val="00C77A4C"/>
    <w:rsid w:val="00C83430"/>
    <w:rsid w:val="00C93A4D"/>
    <w:rsid w:val="00CB15CF"/>
    <w:rsid w:val="00CB2353"/>
    <w:rsid w:val="00CD0E1D"/>
    <w:rsid w:val="00CD0ECF"/>
    <w:rsid w:val="00CD603D"/>
    <w:rsid w:val="00CD72BA"/>
    <w:rsid w:val="00CF6A72"/>
    <w:rsid w:val="00D01190"/>
    <w:rsid w:val="00D01373"/>
    <w:rsid w:val="00D10F9A"/>
    <w:rsid w:val="00D12970"/>
    <w:rsid w:val="00D2281F"/>
    <w:rsid w:val="00D2404A"/>
    <w:rsid w:val="00D3272E"/>
    <w:rsid w:val="00D32A6E"/>
    <w:rsid w:val="00D36C6B"/>
    <w:rsid w:val="00D42816"/>
    <w:rsid w:val="00D47658"/>
    <w:rsid w:val="00D540E7"/>
    <w:rsid w:val="00D72213"/>
    <w:rsid w:val="00D83C43"/>
    <w:rsid w:val="00D9238B"/>
    <w:rsid w:val="00D93E27"/>
    <w:rsid w:val="00D96CDA"/>
    <w:rsid w:val="00DA5573"/>
    <w:rsid w:val="00DB4742"/>
    <w:rsid w:val="00DB7012"/>
    <w:rsid w:val="00DC2954"/>
    <w:rsid w:val="00DC3CC5"/>
    <w:rsid w:val="00DD14E1"/>
    <w:rsid w:val="00DD17F3"/>
    <w:rsid w:val="00DD5C08"/>
    <w:rsid w:val="00DE6B55"/>
    <w:rsid w:val="00DF2D55"/>
    <w:rsid w:val="00DF336C"/>
    <w:rsid w:val="00DF4362"/>
    <w:rsid w:val="00DF7DE4"/>
    <w:rsid w:val="00E01BBD"/>
    <w:rsid w:val="00E02A86"/>
    <w:rsid w:val="00E05E66"/>
    <w:rsid w:val="00E070EC"/>
    <w:rsid w:val="00E14B9D"/>
    <w:rsid w:val="00E245D0"/>
    <w:rsid w:val="00E26AEF"/>
    <w:rsid w:val="00E40300"/>
    <w:rsid w:val="00E43691"/>
    <w:rsid w:val="00E45036"/>
    <w:rsid w:val="00E50A87"/>
    <w:rsid w:val="00E510B3"/>
    <w:rsid w:val="00E64528"/>
    <w:rsid w:val="00E71A16"/>
    <w:rsid w:val="00E82110"/>
    <w:rsid w:val="00E840DA"/>
    <w:rsid w:val="00E844A8"/>
    <w:rsid w:val="00E91B35"/>
    <w:rsid w:val="00EA11D0"/>
    <w:rsid w:val="00EA4A4E"/>
    <w:rsid w:val="00EB37F3"/>
    <w:rsid w:val="00EC1F0D"/>
    <w:rsid w:val="00EC39B1"/>
    <w:rsid w:val="00EC79B2"/>
    <w:rsid w:val="00ED02B9"/>
    <w:rsid w:val="00ED1E69"/>
    <w:rsid w:val="00ED488E"/>
    <w:rsid w:val="00EE4933"/>
    <w:rsid w:val="00EF0C42"/>
    <w:rsid w:val="00EF4CAE"/>
    <w:rsid w:val="00EF704A"/>
    <w:rsid w:val="00EF7BA7"/>
    <w:rsid w:val="00F1136A"/>
    <w:rsid w:val="00F151B7"/>
    <w:rsid w:val="00F1707B"/>
    <w:rsid w:val="00F17299"/>
    <w:rsid w:val="00F21020"/>
    <w:rsid w:val="00F263FF"/>
    <w:rsid w:val="00F3070A"/>
    <w:rsid w:val="00F320AF"/>
    <w:rsid w:val="00F3422F"/>
    <w:rsid w:val="00F41F5F"/>
    <w:rsid w:val="00F42604"/>
    <w:rsid w:val="00F46DD0"/>
    <w:rsid w:val="00F52D41"/>
    <w:rsid w:val="00F5663A"/>
    <w:rsid w:val="00F70CBE"/>
    <w:rsid w:val="00F74119"/>
    <w:rsid w:val="00F83A77"/>
    <w:rsid w:val="00F879B5"/>
    <w:rsid w:val="00FA2158"/>
    <w:rsid w:val="00FA45B7"/>
    <w:rsid w:val="00FC010E"/>
    <w:rsid w:val="00FC1192"/>
    <w:rsid w:val="00FD502E"/>
    <w:rsid w:val="00FE1F2F"/>
    <w:rsid w:val="00FE56D2"/>
    <w:rsid w:val="00FF426D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2754"/>
  <w15:chartTrackingRefBased/>
  <w15:docId w15:val="{A0033E58-F055-41AC-A7D5-779283C6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0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titulo 3,Bullets,Ha,Párrafo de lista2,List,Cuadrícula clara - Énfasis 31,List Paragraph"/>
    <w:basedOn w:val="Normal"/>
    <w:link w:val="PrrafodelistaCar"/>
    <w:uiPriority w:val="34"/>
    <w:qFormat/>
    <w:rsid w:val="004961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F4362"/>
    <w:rPr>
      <w:b/>
      <w:bCs/>
    </w:rPr>
  </w:style>
  <w:style w:type="character" w:customStyle="1" w:styleId="PrrafodelistaCar">
    <w:name w:val="Párrafo de lista Car"/>
    <w:aliases w:val="titulo 3 Car,Bullets Car,Ha Car,Párrafo de lista2 Car,List Car,Cuadrícula clara - Énfasis 31 Car,List Paragraph Car"/>
    <w:basedOn w:val="Fuentedeprrafopredeter"/>
    <w:link w:val="Prrafodelista"/>
    <w:uiPriority w:val="34"/>
    <w:locked/>
    <w:rsid w:val="0069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596E-ACBA-4AFD-A385-47EBF1E3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2821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Ricardo Cortes Rivera</dc:creator>
  <cp:keywords/>
  <dc:description/>
  <cp:lastModifiedBy>María Helena Ordoñez Burbano</cp:lastModifiedBy>
  <cp:revision>3</cp:revision>
  <cp:lastPrinted>2018-12-20T17:04:00Z</cp:lastPrinted>
  <dcterms:created xsi:type="dcterms:W3CDTF">2018-12-20T19:16:00Z</dcterms:created>
  <dcterms:modified xsi:type="dcterms:W3CDTF">2018-12-20T19:20:00Z</dcterms:modified>
</cp:coreProperties>
</file>