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EE1F" w14:textId="77777777" w:rsidR="00DA04EC" w:rsidRDefault="00DA04EC" w:rsidP="00354ADA">
      <w:pPr>
        <w:tabs>
          <w:tab w:val="left" w:pos="-720"/>
        </w:tabs>
        <w:suppressAutoHyphens/>
        <w:jc w:val="center"/>
        <w:rPr>
          <w:rFonts w:cs="Arial"/>
        </w:rPr>
      </w:pPr>
    </w:p>
    <w:p w14:paraId="3858F9AC" w14:textId="77777777" w:rsidR="00B15DEB" w:rsidRPr="00354ADA" w:rsidRDefault="00456110" w:rsidP="00354ADA">
      <w:pPr>
        <w:tabs>
          <w:tab w:val="left" w:pos="-720"/>
        </w:tabs>
        <w:suppressAutoHyphens/>
        <w:jc w:val="center"/>
        <w:rPr>
          <w:rFonts w:cs="Arial"/>
        </w:rPr>
      </w:pPr>
      <w:r w:rsidRPr="00354ADA">
        <w:rPr>
          <w:rFonts w:cs="Arial"/>
        </w:rPr>
        <w:t xml:space="preserve"> </w:t>
      </w:r>
    </w:p>
    <w:p w14:paraId="486F103A" w14:textId="77777777" w:rsidR="00B15DEB" w:rsidRPr="00354ADA" w:rsidRDefault="00B15DEB" w:rsidP="00354ADA">
      <w:pPr>
        <w:tabs>
          <w:tab w:val="left" w:pos="-720"/>
        </w:tabs>
        <w:suppressAutoHyphens/>
        <w:jc w:val="center"/>
        <w:rPr>
          <w:rFonts w:cs="Arial"/>
        </w:rPr>
      </w:pPr>
      <w:r w:rsidRPr="00354ADA">
        <w:rPr>
          <w:rFonts w:cs="Arial"/>
        </w:rPr>
        <w:t>(                            )</w:t>
      </w:r>
    </w:p>
    <w:p w14:paraId="67CE6B9E" w14:textId="77777777" w:rsidR="00DA04EC" w:rsidRPr="00354ADA" w:rsidRDefault="00DA04EC" w:rsidP="00354ADA">
      <w:pPr>
        <w:tabs>
          <w:tab w:val="left" w:pos="-720"/>
        </w:tabs>
        <w:suppressAutoHyphens/>
        <w:jc w:val="center"/>
        <w:rPr>
          <w:rFonts w:cs="Arial"/>
        </w:rPr>
      </w:pPr>
    </w:p>
    <w:p w14:paraId="75037179" w14:textId="77777777" w:rsidR="00FC3C37" w:rsidRPr="00354ADA" w:rsidRDefault="00FC3C37" w:rsidP="00354ADA">
      <w:pPr>
        <w:tabs>
          <w:tab w:val="left" w:pos="-720"/>
        </w:tabs>
        <w:suppressAutoHyphens/>
        <w:jc w:val="center"/>
        <w:rPr>
          <w:rFonts w:cs="Arial"/>
        </w:rPr>
      </w:pPr>
    </w:p>
    <w:p w14:paraId="2025306F" w14:textId="77777777" w:rsidR="00FC3C37" w:rsidRPr="00354ADA" w:rsidRDefault="00DA04EC" w:rsidP="00354ADA">
      <w:pPr>
        <w:pStyle w:val="Textoindependiente2"/>
        <w:rPr>
          <w:rFonts w:cs="Arial"/>
          <w:b w:val="0"/>
          <w:color w:val="auto"/>
          <w:szCs w:val="24"/>
        </w:rPr>
      </w:pPr>
      <w:r>
        <w:rPr>
          <w:rFonts w:cs="Arial"/>
          <w:b w:val="0"/>
          <w:color w:val="auto"/>
          <w:szCs w:val="24"/>
        </w:rPr>
        <w:t>«</w:t>
      </w:r>
      <w:r w:rsidR="006E5AD4" w:rsidRPr="00354ADA">
        <w:rPr>
          <w:rFonts w:cs="Arial"/>
          <w:b w:val="0"/>
          <w:color w:val="auto"/>
          <w:szCs w:val="24"/>
        </w:rPr>
        <w:t xml:space="preserve">Por la cual se </w:t>
      </w:r>
      <w:r w:rsidR="0041430F" w:rsidRPr="00354ADA">
        <w:rPr>
          <w:rFonts w:cs="Arial"/>
          <w:b w:val="0"/>
          <w:color w:val="auto"/>
          <w:szCs w:val="24"/>
        </w:rPr>
        <w:t>establecen los criterios para la distribución</w:t>
      </w:r>
      <w:r w:rsidR="0079232E">
        <w:rPr>
          <w:rFonts w:cs="Arial"/>
          <w:b w:val="0"/>
          <w:color w:val="auto"/>
          <w:szCs w:val="24"/>
        </w:rPr>
        <w:t xml:space="preserve"> y</w:t>
      </w:r>
      <w:r w:rsidR="0041430F" w:rsidRPr="00354ADA">
        <w:rPr>
          <w:rFonts w:cs="Arial"/>
          <w:b w:val="0"/>
          <w:color w:val="auto"/>
          <w:szCs w:val="24"/>
        </w:rPr>
        <w:t xml:space="preserve"> </w:t>
      </w:r>
      <w:r w:rsidR="0079232E" w:rsidRPr="0079232E">
        <w:rPr>
          <w:rFonts w:cs="Arial"/>
          <w:b w:val="0"/>
          <w:color w:val="auto"/>
          <w:szCs w:val="24"/>
        </w:rPr>
        <w:t>aplicación de los recursos provenientes del Impuesto sobre la Renta para la Equidad (CREE)</w:t>
      </w:r>
      <w:r w:rsidR="0079232E">
        <w:rPr>
          <w:rFonts w:cs="Arial"/>
          <w:b w:val="0"/>
          <w:color w:val="auto"/>
          <w:szCs w:val="24"/>
        </w:rPr>
        <w:t xml:space="preserve"> en el marco de </w:t>
      </w:r>
      <w:r w:rsidR="0079232E" w:rsidRPr="0079232E">
        <w:rPr>
          <w:rFonts w:cs="Arial"/>
          <w:b w:val="0"/>
          <w:color w:val="auto"/>
          <w:szCs w:val="24"/>
        </w:rPr>
        <w:t xml:space="preserve">los Planes de Fomento </w:t>
      </w:r>
      <w:r w:rsidR="0079232E">
        <w:rPr>
          <w:rFonts w:cs="Arial"/>
          <w:b w:val="0"/>
          <w:color w:val="auto"/>
          <w:szCs w:val="24"/>
        </w:rPr>
        <w:t>a la Calidad</w:t>
      </w:r>
      <w:r w:rsidR="000B361F" w:rsidRPr="00354ADA">
        <w:rPr>
          <w:rFonts w:cs="Arial"/>
          <w:b w:val="0"/>
          <w:color w:val="auto"/>
          <w:szCs w:val="24"/>
        </w:rPr>
        <w:t xml:space="preserve">, </w:t>
      </w:r>
      <w:r w:rsidR="0041430F" w:rsidRPr="00354ADA">
        <w:rPr>
          <w:rFonts w:cs="Arial"/>
          <w:b w:val="0"/>
          <w:color w:val="auto"/>
          <w:szCs w:val="24"/>
        </w:rPr>
        <w:t xml:space="preserve">para </w:t>
      </w:r>
      <w:r w:rsidR="003D6E8A">
        <w:rPr>
          <w:rFonts w:cs="Arial"/>
          <w:b w:val="0"/>
          <w:color w:val="auto"/>
          <w:szCs w:val="24"/>
        </w:rPr>
        <w:t>la vigencia 2017 del año gravable 2016</w:t>
      </w:r>
      <w:r>
        <w:rPr>
          <w:rFonts w:cs="Arial"/>
          <w:b w:val="0"/>
          <w:color w:val="auto"/>
          <w:szCs w:val="24"/>
        </w:rPr>
        <w:t>»</w:t>
      </w:r>
    </w:p>
    <w:p w14:paraId="4DBFE75E" w14:textId="77777777" w:rsidR="00483829" w:rsidRDefault="00483829" w:rsidP="00354ADA">
      <w:pPr>
        <w:widowControl w:val="0"/>
        <w:tabs>
          <w:tab w:val="center" w:pos="4695"/>
        </w:tabs>
        <w:jc w:val="center"/>
        <w:rPr>
          <w:rFonts w:cs="Arial"/>
          <w:b/>
          <w:snapToGrid w:val="0"/>
        </w:rPr>
      </w:pPr>
    </w:p>
    <w:p w14:paraId="069B82DA" w14:textId="77777777" w:rsidR="006E5AD4" w:rsidRPr="00354ADA" w:rsidRDefault="006E5AD4" w:rsidP="00354ADA">
      <w:pPr>
        <w:widowControl w:val="0"/>
        <w:tabs>
          <w:tab w:val="center" w:pos="4695"/>
        </w:tabs>
        <w:jc w:val="center"/>
        <w:rPr>
          <w:rFonts w:cs="Arial"/>
          <w:b/>
          <w:snapToGrid w:val="0"/>
        </w:rPr>
      </w:pPr>
      <w:r w:rsidRPr="00354ADA">
        <w:rPr>
          <w:rFonts w:cs="Arial"/>
          <w:b/>
          <w:snapToGrid w:val="0"/>
        </w:rPr>
        <w:t>LA MINISTRA DE EDUCACIÓN NACIONAL</w:t>
      </w:r>
    </w:p>
    <w:p w14:paraId="16F79B72" w14:textId="77777777" w:rsidR="006E5AD4" w:rsidRDefault="006E5AD4" w:rsidP="00354ADA">
      <w:pPr>
        <w:widowControl w:val="0"/>
        <w:tabs>
          <w:tab w:val="center" w:pos="4695"/>
        </w:tabs>
        <w:jc w:val="center"/>
        <w:rPr>
          <w:rFonts w:cs="Arial"/>
          <w:b/>
          <w:snapToGrid w:val="0"/>
        </w:rPr>
      </w:pPr>
    </w:p>
    <w:p w14:paraId="5E73B5E0" w14:textId="77777777" w:rsidR="006E5AD4" w:rsidRPr="00354ADA" w:rsidRDefault="006E5AD4" w:rsidP="00354ADA">
      <w:pPr>
        <w:widowControl w:val="0"/>
        <w:tabs>
          <w:tab w:val="center" w:pos="4688"/>
        </w:tabs>
        <w:jc w:val="center"/>
        <w:rPr>
          <w:rFonts w:cs="Arial"/>
          <w:snapToGrid w:val="0"/>
        </w:rPr>
      </w:pPr>
      <w:r w:rsidRPr="00354ADA">
        <w:rPr>
          <w:rFonts w:cs="Arial"/>
          <w:snapToGrid w:val="0"/>
        </w:rPr>
        <w:t>En uso de sus atribuciones legales, en especial de las que le otorga el</w:t>
      </w:r>
      <w:r w:rsidR="00CC0028">
        <w:rPr>
          <w:rFonts w:cs="Arial"/>
          <w:snapToGrid w:val="0"/>
        </w:rPr>
        <w:t xml:space="preserve"> artículo</w:t>
      </w:r>
      <w:r w:rsidR="00CC0028" w:rsidRPr="00354ADA">
        <w:rPr>
          <w:rFonts w:cs="Arial"/>
          <w:snapToGrid w:val="0"/>
        </w:rPr>
        <w:t xml:space="preserve"> </w:t>
      </w:r>
      <w:r w:rsidR="00CC0028" w:rsidRPr="001917CA">
        <w:rPr>
          <w:rFonts w:cs="Arial"/>
          <w:snapToGrid w:val="0"/>
        </w:rPr>
        <w:t>2.5.4.4.1.3</w:t>
      </w:r>
      <w:r w:rsidR="00CC0028">
        <w:rPr>
          <w:rFonts w:cs="Arial"/>
          <w:snapToGrid w:val="0"/>
        </w:rPr>
        <w:t xml:space="preserve"> del</w:t>
      </w:r>
      <w:r w:rsidRPr="00354ADA">
        <w:rPr>
          <w:rFonts w:cs="Arial"/>
          <w:snapToGrid w:val="0"/>
        </w:rPr>
        <w:t xml:space="preserve"> Decreto </w:t>
      </w:r>
      <w:r w:rsidR="00CC0028">
        <w:rPr>
          <w:rFonts w:cs="Arial"/>
          <w:snapToGrid w:val="0"/>
        </w:rPr>
        <w:t>1075</w:t>
      </w:r>
      <w:r w:rsidR="00CA4D30" w:rsidRPr="00354ADA">
        <w:rPr>
          <w:rFonts w:cs="Arial"/>
          <w:snapToGrid w:val="0"/>
        </w:rPr>
        <w:t xml:space="preserve"> de 2015</w:t>
      </w:r>
      <w:r w:rsidRPr="00354ADA">
        <w:rPr>
          <w:rFonts w:cs="Arial"/>
          <w:snapToGrid w:val="0"/>
        </w:rPr>
        <w:t xml:space="preserve"> y</w:t>
      </w:r>
    </w:p>
    <w:p w14:paraId="7FA447C5" w14:textId="77777777" w:rsidR="00DA04EC" w:rsidRPr="00354ADA" w:rsidRDefault="00DA04EC" w:rsidP="00354ADA">
      <w:pPr>
        <w:widowControl w:val="0"/>
        <w:tabs>
          <w:tab w:val="center" w:pos="4688"/>
        </w:tabs>
        <w:jc w:val="center"/>
        <w:rPr>
          <w:rFonts w:cs="Arial"/>
          <w:b/>
          <w:snapToGrid w:val="0"/>
        </w:rPr>
      </w:pPr>
    </w:p>
    <w:p w14:paraId="5C6247C7" w14:textId="77777777" w:rsidR="006E5AD4" w:rsidRPr="00354ADA" w:rsidRDefault="006E5AD4" w:rsidP="00354ADA">
      <w:pPr>
        <w:widowControl w:val="0"/>
        <w:tabs>
          <w:tab w:val="center" w:pos="4688"/>
        </w:tabs>
        <w:jc w:val="center"/>
        <w:rPr>
          <w:rFonts w:cs="Arial"/>
          <w:b/>
          <w:snapToGrid w:val="0"/>
        </w:rPr>
      </w:pPr>
      <w:r w:rsidRPr="00354ADA">
        <w:rPr>
          <w:rFonts w:cs="Arial"/>
          <w:b/>
          <w:snapToGrid w:val="0"/>
        </w:rPr>
        <w:t>CONSIDERANDO</w:t>
      </w:r>
    </w:p>
    <w:p w14:paraId="416876D5" w14:textId="77777777" w:rsidR="00DA04EC" w:rsidRPr="00354ADA" w:rsidRDefault="00DA04EC" w:rsidP="00354ADA">
      <w:pPr>
        <w:widowControl w:val="0"/>
        <w:tabs>
          <w:tab w:val="center" w:pos="4688"/>
        </w:tabs>
        <w:jc w:val="center"/>
        <w:rPr>
          <w:rFonts w:cs="Arial"/>
          <w:b/>
          <w:snapToGrid w:val="0"/>
        </w:rPr>
      </w:pPr>
    </w:p>
    <w:p w14:paraId="24128902" w14:textId="77777777" w:rsidR="002E62DD" w:rsidRPr="00354ADA" w:rsidRDefault="00480B5F" w:rsidP="00354ADA">
      <w:pPr>
        <w:pStyle w:val="Default"/>
        <w:jc w:val="both"/>
      </w:pPr>
      <w:r w:rsidRPr="00354ADA">
        <w:rPr>
          <w:snapToGrid w:val="0"/>
        </w:rPr>
        <w:t xml:space="preserve">Que el artículo 20 de la Ley 1607 de 2012 creó el Impuesto sobre la Renta para la Equidad (CREE), a partir del </w:t>
      </w:r>
      <w:r w:rsidR="00E27975" w:rsidRPr="00354ADA">
        <w:rPr>
          <w:snapToGrid w:val="0"/>
        </w:rPr>
        <w:t>1</w:t>
      </w:r>
      <w:r w:rsidR="00E27975" w:rsidRPr="00354ADA">
        <w:rPr>
          <w:snapToGrid w:val="0"/>
          <w:vertAlign w:val="superscript"/>
        </w:rPr>
        <w:t>o</w:t>
      </w:r>
      <w:r w:rsidR="00E27975" w:rsidRPr="00354ADA">
        <w:rPr>
          <w:snapToGrid w:val="0"/>
        </w:rPr>
        <w:t xml:space="preserve"> </w:t>
      </w:r>
      <w:r w:rsidRPr="00354ADA">
        <w:rPr>
          <w:snapToGrid w:val="0"/>
        </w:rPr>
        <w:t>de enero de 2013, como el aporte con el que contribuyen las sociedades y personas jurídicas y asimiladas, contribuyentes declarantes del impuesto sobre la renta y complementarios, en beneficio de los trabajadores, la generación de empleo y la inversión social</w:t>
      </w:r>
      <w:r w:rsidR="009A63D7">
        <w:rPr>
          <w:snapToGrid w:val="0"/>
        </w:rPr>
        <w:t>,</w:t>
      </w:r>
      <w:r w:rsidRPr="00354ADA">
        <w:rPr>
          <w:snapToGrid w:val="0"/>
        </w:rPr>
        <w:t xml:space="preserve"> en los términos previstos en la citada </w:t>
      </w:r>
      <w:r w:rsidR="00CC0028">
        <w:rPr>
          <w:snapToGrid w:val="0"/>
        </w:rPr>
        <w:t>l</w:t>
      </w:r>
      <w:r w:rsidRPr="00354ADA">
        <w:rPr>
          <w:snapToGrid w:val="0"/>
        </w:rPr>
        <w:t>ey.</w:t>
      </w:r>
    </w:p>
    <w:p w14:paraId="761EDE73" w14:textId="77777777" w:rsidR="00480B5F" w:rsidRPr="00354ADA" w:rsidRDefault="00480B5F" w:rsidP="00354ADA">
      <w:pPr>
        <w:widowControl w:val="0"/>
        <w:tabs>
          <w:tab w:val="left" w:pos="90"/>
        </w:tabs>
        <w:jc w:val="both"/>
        <w:rPr>
          <w:rFonts w:cs="Arial"/>
          <w:snapToGrid w:val="0"/>
        </w:rPr>
      </w:pPr>
    </w:p>
    <w:p w14:paraId="1948E1FB" w14:textId="77777777" w:rsidR="00480B5F" w:rsidRPr="00354ADA" w:rsidRDefault="00480B5F" w:rsidP="00354ADA">
      <w:pPr>
        <w:widowControl w:val="0"/>
        <w:tabs>
          <w:tab w:val="left" w:pos="90"/>
        </w:tabs>
        <w:jc w:val="both"/>
        <w:rPr>
          <w:rFonts w:cs="Arial"/>
          <w:snapToGrid w:val="0"/>
        </w:rPr>
      </w:pPr>
      <w:r w:rsidRPr="00354ADA">
        <w:rPr>
          <w:rFonts w:cs="Arial"/>
          <w:snapToGrid w:val="0"/>
        </w:rPr>
        <w:t xml:space="preserve">Que el artículo 18 de la Ley 1739 de 2014 adicionó al artículo 24 de la Ley 1607 de 2012 un 4º inciso, que a su vez, fue modificado por el artículo 136 de la Ley 1753 de 2015. Dicho inciso regula la destinación específica de los recursos provenientes del Impuesto sobre la Renta para la Equidad (CREE), y en ese sentido, consagra que a partir del año gravable 2016, del 9% de la tarifa, </w:t>
      </w:r>
      <w:r w:rsidR="008D0924" w:rsidRPr="00354ADA">
        <w:rPr>
          <w:rFonts w:cs="Arial"/>
          <w:snapToGrid w:val="0"/>
        </w:rPr>
        <w:t>0,4</w:t>
      </w:r>
      <w:r w:rsidRPr="00354ADA">
        <w:rPr>
          <w:rFonts w:cs="Arial"/>
          <w:snapToGrid w:val="0"/>
        </w:rPr>
        <w:t xml:space="preserve"> puntos deben destinarse a financiar programas de atención a la primera infancia y 0,6 puntos a financiar las instituciones de educación superior oficiales, créditos beca a través del ICETEX, y mejoramiento de la calidad de la educación superior.</w:t>
      </w:r>
    </w:p>
    <w:p w14:paraId="1C122BEF" w14:textId="77777777" w:rsidR="00480B5F" w:rsidRPr="00354ADA" w:rsidRDefault="00480B5F" w:rsidP="00354ADA">
      <w:pPr>
        <w:widowControl w:val="0"/>
        <w:tabs>
          <w:tab w:val="left" w:pos="90"/>
        </w:tabs>
        <w:jc w:val="both"/>
        <w:rPr>
          <w:rFonts w:cs="Arial"/>
          <w:snapToGrid w:val="0"/>
        </w:rPr>
      </w:pPr>
    </w:p>
    <w:p w14:paraId="002C29D3" w14:textId="77777777" w:rsidR="00FB67DC" w:rsidRDefault="00480B5F" w:rsidP="00354ADA">
      <w:pPr>
        <w:widowControl w:val="0"/>
        <w:tabs>
          <w:tab w:val="left" w:pos="90"/>
        </w:tabs>
        <w:jc w:val="both"/>
        <w:rPr>
          <w:rFonts w:cs="Arial"/>
          <w:snapToGrid w:val="0"/>
        </w:rPr>
      </w:pPr>
      <w:r w:rsidRPr="00354ADA">
        <w:rPr>
          <w:rFonts w:cs="Arial"/>
          <w:snapToGrid w:val="0"/>
        </w:rPr>
        <w:t xml:space="preserve">Que </w:t>
      </w:r>
      <w:r w:rsidR="00CC0028">
        <w:rPr>
          <w:rFonts w:cs="Arial"/>
          <w:snapToGrid w:val="0"/>
        </w:rPr>
        <w:t>fue expedido el Decreto 2564 de 2015, el cual adicionó el Capítulo 4 al Título 4, Parte 5 Libro 2 d</w:t>
      </w:r>
      <w:r w:rsidRPr="00354ADA">
        <w:rPr>
          <w:rFonts w:cs="Arial"/>
          <w:snapToGrid w:val="0"/>
        </w:rPr>
        <w:t>el Decreto 1075 de 2015</w:t>
      </w:r>
      <w:r w:rsidR="00CC0028">
        <w:rPr>
          <w:rFonts w:cs="Arial"/>
          <w:snapToGrid w:val="0"/>
        </w:rPr>
        <w:t>,</w:t>
      </w:r>
      <w:r w:rsidRPr="00354ADA">
        <w:rPr>
          <w:rFonts w:cs="Arial"/>
          <w:snapToGrid w:val="0"/>
        </w:rPr>
        <w:t xml:space="preserve"> Único Reglamentario del Sector Educación, con el objetivo de</w:t>
      </w:r>
      <w:r w:rsidR="00CC0028">
        <w:rPr>
          <w:rFonts w:cs="Arial"/>
          <w:snapToGrid w:val="0"/>
        </w:rPr>
        <w:t xml:space="preserve"> r</w:t>
      </w:r>
      <w:r w:rsidR="00CC0028" w:rsidRPr="00CC0028">
        <w:rPr>
          <w:rFonts w:cs="Arial"/>
          <w:snapToGrid w:val="0"/>
        </w:rPr>
        <w:t xml:space="preserve">eglamentar los criterios para la asignación y distribución de los recursos provenientes del Impuesto sobre la Renta para la Equidad (CREE) a </w:t>
      </w:r>
      <w:r w:rsidR="005E6E01">
        <w:rPr>
          <w:rFonts w:cs="Arial"/>
          <w:snapToGrid w:val="0"/>
        </w:rPr>
        <w:t xml:space="preserve">partir del </w:t>
      </w:r>
      <w:r w:rsidR="002408BF">
        <w:rPr>
          <w:rFonts w:cs="Arial"/>
          <w:snapToGrid w:val="0"/>
        </w:rPr>
        <w:t>año gravable</w:t>
      </w:r>
      <w:r w:rsidR="005E6E01">
        <w:rPr>
          <w:rFonts w:cs="Arial"/>
          <w:snapToGrid w:val="0"/>
        </w:rPr>
        <w:t xml:space="preserve"> </w:t>
      </w:r>
      <w:r w:rsidR="002408BF">
        <w:rPr>
          <w:rFonts w:cs="Arial"/>
          <w:snapToGrid w:val="0"/>
        </w:rPr>
        <w:t>2016</w:t>
      </w:r>
      <w:r w:rsidR="00CC0028" w:rsidRPr="00CC0028">
        <w:rPr>
          <w:rFonts w:cs="Arial"/>
          <w:snapToGrid w:val="0"/>
        </w:rPr>
        <w:t xml:space="preserve">, </w:t>
      </w:r>
      <w:r w:rsidR="00CC0028">
        <w:rPr>
          <w:rFonts w:cs="Arial"/>
          <w:snapToGrid w:val="0"/>
        </w:rPr>
        <w:t>destinados a</w:t>
      </w:r>
      <w:r w:rsidR="00CC0028" w:rsidRPr="00CC0028">
        <w:rPr>
          <w:rFonts w:cs="Arial"/>
          <w:snapToGrid w:val="0"/>
        </w:rPr>
        <w:t xml:space="preserve"> financiar las instituciones de educación superior oficiales para mejorar la calidad del servicio que estas prestan, y los créditos beca que se otorgarán a través del Icetex</w:t>
      </w:r>
      <w:r w:rsidR="00CC0028">
        <w:rPr>
          <w:rFonts w:cs="Arial"/>
          <w:snapToGrid w:val="0"/>
        </w:rPr>
        <w:t>.</w:t>
      </w:r>
      <w:r w:rsidRPr="00354ADA">
        <w:rPr>
          <w:rFonts w:cs="Arial"/>
          <w:snapToGrid w:val="0"/>
        </w:rPr>
        <w:t xml:space="preserve"> </w:t>
      </w:r>
    </w:p>
    <w:p w14:paraId="394D2765" w14:textId="77777777" w:rsidR="00881ACE" w:rsidRDefault="00881ACE" w:rsidP="00354ADA">
      <w:pPr>
        <w:widowControl w:val="0"/>
        <w:tabs>
          <w:tab w:val="left" w:pos="90"/>
        </w:tabs>
        <w:jc w:val="both"/>
        <w:rPr>
          <w:rFonts w:cs="Arial"/>
          <w:snapToGrid w:val="0"/>
        </w:rPr>
      </w:pPr>
    </w:p>
    <w:p w14:paraId="5FED19D2" w14:textId="77777777" w:rsidR="00093896" w:rsidRDefault="00881ACE" w:rsidP="00093896">
      <w:pPr>
        <w:widowControl w:val="0"/>
        <w:tabs>
          <w:tab w:val="center" w:pos="4688"/>
        </w:tabs>
        <w:jc w:val="both"/>
        <w:rPr>
          <w:rFonts w:cs="Arial"/>
          <w:snapToGrid w:val="0"/>
        </w:rPr>
      </w:pPr>
      <w:r>
        <w:t>Que el numeral 3</w:t>
      </w:r>
      <w:r w:rsidR="0024451C">
        <w:t>º</w:t>
      </w:r>
      <w:r>
        <w:t xml:space="preserve"> del artículo 376 de la Ley 1819 de 2016</w:t>
      </w:r>
      <w:r w:rsidRPr="009A63D7">
        <w:t>, d</w:t>
      </w:r>
      <w:r w:rsidR="00D1366A">
        <w:t>erogó</w:t>
      </w:r>
      <w:r>
        <w:t xml:space="preserve"> el </w:t>
      </w:r>
      <w:r w:rsidR="0024451C">
        <w:t xml:space="preserve">Impuesto </w:t>
      </w:r>
      <w:r>
        <w:t xml:space="preserve">sobre la </w:t>
      </w:r>
      <w:r w:rsidR="0024451C">
        <w:t xml:space="preserve">Renta </w:t>
      </w:r>
      <w:r>
        <w:t xml:space="preserve">para la </w:t>
      </w:r>
      <w:r w:rsidR="0024451C">
        <w:t>Equidad (</w:t>
      </w:r>
      <w:r>
        <w:t>CREE</w:t>
      </w:r>
      <w:r w:rsidR="0024451C">
        <w:t>)</w:t>
      </w:r>
      <w:r w:rsidR="00093896">
        <w:t xml:space="preserve">, y para efectos de la presente resolución, es de tener en cuenta que la citada ley </w:t>
      </w:r>
      <w:r w:rsidR="00093896">
        <w:rPr>
          <w:rFonts w:cs="Arial"/>
          <w:snapToGrid w:val="0"/>
        </w:rPr>
        <w:t>e</w:t>
      </w:r>
      <w:r w:rsidR="0024451C">
        <w:rPr>
          <w:rFonts w:cs="Arial"/>
          <w:snapToGrid w:val="0"/>
        </w:rPr>
        <w:t>ntró a regir el 29 de diciembre de 2016</w:t>
      </w:r>
      <w:r w:rsidR="00093896">
        <w:rPr>
          <w:rFonts w:cs="Arial"/>
          <w:snapToGrid w:val="0"/>
        </w:rPr>
        <w:t xml:space="preserve">. </w:t>
      </w:r>
    </w:p>
    <w:p w14:paraId="26046422" w14:textId="77777777" w:rsidR="00093896" w:rsidRDefault="00093896" w:rsidP="00093896">
      <w:pPr>
        <w:widowControl w:val="0"/>
        <w:tabs>
          <w:tab w:val="center" w:pos="4688"/>
        </w:tabs>
        <w:jc w:val="both"/>
        <w:rPr>
          <w:rFonts w:cs="Arial"/>
          <w:snapToGrid w:val="0"/>
        </w:rPr>
      </w:pPr>
    </w:p>
    <w:p w14:paraId="118233D6" w14:textId="7E219C19" w:rsidR="00CF1A7C" w:rsidRDefault="00093896" w:rsidP="00093896">
      <w:pPr>
        <w:widowControl w:val="0"/>
        <w:tabs>
          <w:tab w:val="center" w:pos="4688"/>
        </w:tabs>
        <w:jc w:val="both"/>
      </w:pPr>
      <w:r>
        <w:rPr>
          <w:rFonts w:cs="Arial"/>
          <w:snapToGrid w:val="0"/>
        </w:rPr>
        <w:t xml:space="preserve">Que los artículos 338 (inciso 3º) y 363 de la Constitución Política consagran el principio </w:t>
      </w:r>
      <w:r>
        <w:rPr>
          <w:rFonts w:cs="Arial"/>
          <w:snapToGrid w:val="0"/>
        </w:rPr>
        <w:lastRenderedPageBreak/>
        <w:t>de irretroactividad de la ley tributaria, lo que implica</w:t>
      </w:r>
      <w:r w:rsidR="00E623AC">
        <w:rPr>
          <w:rFonts w:cs="Arial"/>
          <w:snapToGrid w:val="0"/>
        </w:rPr>
        <w:t>, por ejemplo,</w:t>
      </w:r>
      <w:r>
        <w:rPr>
          <w:rFonts w:cs="Arial"/>
          <w:snapToGrid w:val="0"/>
        </w:rPr>
        <w:t xml:space="preserve"> que las disposiciones contenidas en la Ley 1819 de 2016 no pueden alterar situaciones consolidadas antes de su entrada en vigencia, como es en este caso, la causación y el recaudo del </w:t>
      </w:r>
      <w:r>
        <w:t xml:space="preserve">Impuesto sobre la Renta para la Equidad (CREE) realizado en el </w:t>
      </w:r>
      <w:r w:rsidR="00350F4C">
        <w:t>año gravable</w:t>
      </w:r>
      <w:r>
        <w:t xml:space="preserve"> 2016.</w:t>
      </w:r>
    </w:p>
    <w:p w14:paraId="7B4885DB" w14:textId="77777777" w:rsidR="00F31B63" w:rsidRDefault="00F31B63" w:rsidP="00093896">
      <w:pPr>
        <w:widowControl w:val="0"/>
        <w:tabs>
          <w:tab w:val="center" w:pos="4688"/>
        </w:tabs>
        <w:jc w:val="both"/>
        <w:rPr>
          <w:rFonts w:cs="Arial"/>
          <w:snapToGrid w:val="0"/>
        </w:rPr>
      </w:pPr>
    </w:p>
    <w:p w14:paraId="4B0B5728" w14:textId="58B92EEE" w:rsidR="00A65007" w:rsidRDefault="00A65007" w:rsidP="00354ADA">
      <w:pPr>
        <w:widowControl w:val="0"/>
        <w:tabs>
          <w:tab w:val="left" w:pos="90"/>
        </w:tabs>
        <w:jc w:val="both"/>
        <w:rPr>
          <w:rFonts w:cs="Arial"/>
          <w:snapToGrid w:val="0"/>
        </w:rPr>
      </w:pPr>
      <w:r w:rsidRPr="00354ADA">
        <w:rPr>
          <w:rFonts w:cs="Arial"/>
          <w:snapToGrid w:val="0"/>
        </w:rPr>
        <w:t>Que</w:t>
      </w:r>
      <w:r w:rsidR="00CC0028">
        <w:rPr>
          <w:rFonts w:cs="Arial"/>
          <w:snapToGrid w:val="0"/>
        </w:rPr>
        <w:t xml:space="preserve"> con fundamento en el artículo </w:t>
      </w:r>
      <w:r w:rsidR="00CC0028" w:rsidRPr="00CC0028">
        <w:rPr>
          <w:rFonts w:cs="Arial"/>
          <w:snapToGrid w:val="0"/>
        </w:rPr>
        <w:t>2.5.4.4.1.3 del</w:t>
      </w:r>
      <w:r w:rsidRPr="00354ADA">
        <w:rPr>
          <w:rFonts w:cs="Arial"/>
          <w:snapToGrid w:val="0"/>
        </w:rPr>
        <w:t xml:space="preserve"> </w:t>
      </w:r>
      <w:r w:rsidR="00BB6B35">
        <w:rPr>
          <w:rFonts w:cs="Arial"/>
          <w:snapToGrid w:val="0"/>
        </w:rPr>
        <w:t xml:space="preserve">Decreto </w:t>
      </w:r>
      <w:r w:rsidR="00EB249C">
        <w:rPr>
          <w:rFonts w:cs="Arial"/>
          <w:snapToGrid w:val="0"/>
        </w:rPr>
        <w:t>1075</w:t>
      </w:r>
      <w:r w:rsidR="00BB6B35">
        <w:rPr>
          <w:rFonts w:cs="Arial"/>
          <w:snapToGrid w:val="0"/>
        </w:rPr>
        <w:t xml:space="preserve"> de 2015</w:t>
      </w:r>
      <w:r w:rsidR="00E623AC">
        <w:rPr>
          <w:rFonts w:cs="Arial"/>
          <w:snapToGrid w:val="0"/>
        </w:rPr>
        <w:t>,</w:t>
      </w:r>
      <w:r w:rsidR="00BB6B35">
        <w:rPr>
          <w:rFonts w:cs="Arial"/>
          <w:snapToGrid w:val="0"/>
        </w:rPr>
        <w:t xml:space="preserve"> </w:t>
      </w:r>
      <w:r w:rsidRPr="00354ADA">
        <w:rPr>
          <w:rFonts w:cs="Arial"/>
          <w:snapToGrid w:val="0"/>
        </w:rPr>
        <w:t xml:space="preserve">es necesario </w:t>
      </w:r>
      <w:r w:rsidR="00CC0028">
        <w:rPr>
          <w:rFonts w:cs="Arial"/>
          <w:snapToGrid w:val="0"/>
        </w:rPr>
        <w:t>establecer</w:t>
      </w:r>
      <w:r w:rsidR="00406205" w:rsidRPr="00354ADA">
        <w:rPr>
          <w:rFonts w:cs="Arial"/>
          <w:snapToGrid w:val="0"/>
        </w:rPr>
        <w:t xml:space="preserve"> </w:t>
      </w:r>
      <w:r w:rsidR="00D919F5" w:rsidRPr="00354ADA">
        <w:rPr>
          <w:rFonts w:cs="Arial"/>
          <w:snapToGrid w:val="0"/>
        </w:rPr>
        <w:t>la metodología</w:t>
      </w:r>
      <w:r w:rsidR="00CC0028">
        <w:rPr>
          <w:rFonts w:cs="Arial"/>
          <w:snapToGrid w:val="0"/>
        </w:rPr>
        <w:t xml:space="preserve"> que utilizará el Ministerio de Educación Nacional para distribuir entre las instituciones de educación superior oficiales </w:t>
      </w:r>
      <w:r w:rsidR="00D919F5" w:rsidRPr="00354ADA">
        <w:rPr>
          <w:rFonts w:cs="Arial"/>
          <w:snapToGrid w:val="0"/>
        </w:rPr>
        <w:t>los recursos</w:t>
      </w:r>
      <w:r w:rsidR="00406205" w:rsidRPr="00354ADA">
        <w:rPr>
          <w:rFonts w:cs="Arial"/>
          <w:snapToGrid w:val="0"/>
        </w:rPr>
        <w:t xml:space="preserve"> provenientes del Impuesto sobre la Renta para la Equi</w:t>
      </w:r>
      <w:r w:rsidR="00F27C2E">
        <w:rPr>
          <w:rFonts w:cs="Arial"/>
          <w:snapToGrid w:val="0"/>
        </w:rPr>
        <w:t>dad (CREE) para la vigencia 201</w:t>
      </w:r>
      <w:r w:rsidR="005E6E01">
        <w:rPr>
          <w:rFonts w:cs="Arial"/>
          <w:snapToGrid w:val="0"/>
        </w:rPr>
        <w:t>7</w:t>
      </w:r>
      <w:r w:rsidR="00CC0028">
        <w:rPr>
          <w:rFonts w:cs="Arial"/>
          <w:snapToGrid w:val="0"/>
        </w:rPr>
        <w:t xml:space="preserve">, de acuerdo con los parámetros definidos en el Decreto 1075 </w:t>
      </w:r>
      <w:r w:rsidR="002A380E">
        <w:rPr>
          <w:rFonts w:cs="Arial"/>
          <w:snapToGrid w:val="0"/>
        </w:rPr>
        <w:t xml:space="preserve">de 2015, especialmente en lo relacionado con la  elaboración y presentación por parte de las instituciones de educación superior oficiales de los Planes de Fomento a la Calidad, los cuales </w:t>
      </w:r>
      <w:r w:rsidR="00452495">
        <w:rPr>
          <w:rFonts w:cs="Arial"/>
          <w:snapToGrid w:val="0"/>
        </w:rPr>
        <w:t>es importante que estén alineados con las metas propuestas en el Plan Nacional de Desarrollo adoptad</w:t>
      </w:r>
      <w:r w:rsidR="00F31B63">
        <w:rPr>
          <w:rFonts w:cs="Arial"/>
          <w:snapToGrid w:val="0"/>
        </w:rPr>
        <w:t>o mediante la Ley 1753 de 2015.</w:t>
      </w:r>
    </w:p>
    <w:p w14:paraId="5541CF43" w14:textId="77777777" w:rsidR="00F31B63" w:rsidRDefault="00F31B63" w:rsidP="00354ADA">
      <w:pPr>
        <w:widowControl w:val="0"/>
        <w:tabs>
          <w:tab w:val="left" w:pos="90"/>
        </w:tabs>
        <w:jc w:val="both"/>
        <w:rPr>
          <w:rFonts w:cs="Arial"/>
          <w:snapToGrid w:val="0"/>
        </w:rPr>
      </w:pPr>
    </w:p>
    <w:p w14:paraId="0D1B7F23" w14:textId="77777777" w:rsidR="006E5AD4" w:rsidRPr="00354ADA" w:rsidRDefault="006E5AD4" w:rsidP="00354ADA">
      <w:pPr>
        <w:widowControl w:val="0"/>
        <w:tabs>
          <w:tab w:val="center" w:pos="4731"/>
        </w:tabs>
        <w:jc w:val="both"/>
        <w:rPr>
          <w:rFonts w:cs="Arial"/>
          <w:snapToGrid w:val="0"/>
        </w:rPr>
      </w:pPr>
      <w:r w:rsidRPr="00354ADA">
        <w:rPr>
          <w:rFonts w:cs="Arial"/>
          <w:snapToGrid w:val="0"/>
        </w:rPr>
        <w:t xml:space="preserve">Que en mérito de lo expuesto, </w:t>
      </w:r>
    </w:p>
    <w:p w14:paraId="72E920E0" w14:textId="77777777" w:rsidR="00FC3C37" w:rsidRPr="00354ADA" w:rsidRDefault="00FC3C37" w:rsidP="00354ADA">
      <w:pPr>
        <w:pStyle w:val="Ttulo2"/>
        <w:jc w:val="center"/>
        <w:rPr>
          <w:rFonts w:ascii="Arial" w:hAnsi="Arial" w:cs="Arial"/>
          <w:i w:val="0"/>
          <w:sz w:val="24"/>
          <w:szCs w:val="24"/>
        </w:rPr>
      </w:pPr>
    </w:p>
    <w:p w14:paraId="749F364B" w14:textId="77777777" w:rsidR="00DA04EC" w:rsidRDefault="00DA04EC" w:rsidP="00354ADA">
      <w:pPr>
        <w:pStyle w:val="Ttulo2"/>
        <w:jc w:val="center"/>
        <w:rPr>
          <w:rFonts w:ascii="Arial" w:hAnsi="Arial" w:cs="Arial"/>
          <w:i w:val="0"/>
          <w:sz w:val="24"/>
          <w:szCs w:val="24"/>
        </w:rPr>
      </w:pPr>
    </w:p>
    <w:p w14:paraId="1AF2E471" w14:textId="77777777" w:rsidR="006E5AD4" w:rsidRDefault="006E5AD4" w:rsidP="00354ADA">
      <w:pPr>
        <w:pStyle w:val="Ttulo2"/>
        <w:jc w:val="center"/>
        <w:rPr>
          <w:rFonts w:ascii="Arial" w:hAnsi="Arial" w:cs="Arial"/>
          <w:i w:val="0"/>
          <w:sz w:val="24"/>
          <w:szCs w:val="24"/>
        </w:rPr>
      </w:pPr>
      <w:r w:rsidRPr="00354ADA">
        <w:rPr>
          <w:rFonts w:ascii="Arial" w:hAnsi="Arial" w:cs="Arial"/>
          <w:i w:val="0"/>
          <w:sz w:val="24"/>
          <w:szCs w:val="24"/>
        </w:rPr>
        <w:t>RESUELVE</w:t>
      </w:r>
    </w:p>
    <w:p w14:paraId="73328D01" w14:textId="77777777" w:rsidR="00FC3C37" w:rsidRPr="00354ADA" w:rsidRDefault="00FC3C37" w:rsidP="00354ADA">
      <w:pPr>
        <w:rPr>
          <w:rFonts w:cs="Arial"/>
          <w:b/>
          <w:bCs/>
          <w:iCs/>
        </w:rPr>
      </w:pPr>
    </w:p>
    <w:p w14:paraId="755843EA" w14:textId="77777777" w:rsidR="00E969D5" w:rsidRDefault="00E50F8C" w:rsidP="00EB249C">
      <w:pPr>
        <w:widowControl w:val="0"/>
        <w:autoSpaceDE w:val="0"/>
        <w:autoSpaceDN w:val="0"/>
        <w:adjustRightInd w:val="0"/>
        <w:ind w:right="-79"/>
        <w:jc w:val="both"/>
        <w:rPr>
          <w:rFonts w:cs="Arial"/>
          <w:snapToGrid w:val="0"/>
        </w:rPr>
      </w:pPr>
      <w:r w:rsidRPr="00354ADA">
        <w:rPr>
          <w:rFonts w:cs="Arial"/>
          <w:b/>
          <w:snapToGrid w:val="0"/>
        </w:rPr>
        <w:t xml:space="preserve">Artículo </w:t>
      </w:r>
      <w:r w:rsidR="00BB6B35">
        <w:rPr>
          <w:rFonts w:cs="Arial"/>
          <w:b/>
          <w:snapToGrid w:val="0"/>
        </w:rPr>
        <w:t>1</w:t>
      </w:r>
      <w:r w:rsidR="0060346F" w:rsidRPr="00354ADA">
        <w:rPr>
          <w:rFonts w:cs="Arial"/>
          <w:b/>
          <w:snapToGrid w:val="0"/>
        </w:rPr>
        <w:t>.</w:t>
      </w:r>
      <w:r w:rsidR="00EB249C">
        <w:rPr>
          <w:rFonts w:cs="Arial"/>
          <w:b/>
          <w:snapToGrid w:val="0"/>
        </w:rPr>
        <w:t xml:space="preserve"> </w:t>
      </w:r>
      <w:r w:rsidR="00EB249C" w:rsidRPr="008F2703">
        <w:rPr>
          <w:rFonts w:cs="Arial"/>
          <w:b/>
          <w:i/>
          <w:snapToGrid w:val="0"/>
        </w:rPr>
        <w:t>Planes de Fomento a la Calidad</w:t>
      </w:r>
      <w:r w:rsidR="00EB249C">
        <w:rPr>
          <w:rFonts w:cs="Arial"/>
          <w:b/>
          <w:i/>
          <w:snapToGrid w:val="0"/>
        </w:rPr>
        <w:t xml:space="preserve">. </w:t>
      </w:r>
      <w:r w:rsidR="00EB249C">
        <w:rPr>
          <w:rFonts w:cs="Arial"/>
          <w:snapToGrid w:val="0"/>
        </w:rPr>
        <w:t xml:space="preserve">De conformidad con los artículos 2.5.4.4.2.2 y 2.5.4.4.2.3 del Decreto 1075 de 2015, las instituciones de educación superior oficiales </w:t>
      </w:r>
      <w:r w:rsidR="00E969D5">
        <w:rPr>
          <w:rFonts w:cs="Arial"/>
          <w:snapToGrid w:val="0"/>
        </w:rPr>
        <w:t xml:space="preserve">deberán presentar ante el Ministerio de Educación Nacional sus </w:t>
      </w:r>
      <w:r w:rsidR="00E969D5" w:rsidRPr="00F27C2E">
        <w:rPr>
          <w:rFonts w:cs="Arial"/>
          <w:snapToGrid w:val="0"/>
        </w:rPr>
        <w:t xml:space="preserve">respectivos Planes de Fomento a la Calidad a más tardar el </w:t>
      </w:r>
      <w:r w:rsidR="001D459F">
        <w:rPr>
          <w:rFonts w:cs="Arial"/>
          <w:snapToGrid w:val="0"/>
        </w:rPr>
        <w:t>15</w:t>
      </w:r>
      <w:r w:rsidR="00E969D5" w:rsidRPr="00BE6A86">
        <w:rPr>
          <w:rFonts w:cs="Arial"/>
          <w:snapToGrid w:val="0"/>
        </w:rPr>
        <w:t xml:space="preserve"> de </w:t>
      </w:r>
      <w:r w:rsidR="001D459F">
        <w:rPr>
          <w:rFonts w:cs="Arial"/>
          <w:snapToGrid w:val="0"/>
        </w:rPr>
        <w:t>septiembre</w:t>
      </w:r>
      <w:r w:rsidR="00BE6A86" w:rsidRPr="00BE6A86">
        <w:rPr>
          <w:rFonts w:cs="Arial"/>
          <w:snapToGrid w:val="0"/>
        </w:rPr>
        <w:t xml:space="preserve"> de 2017</w:t>
      </w:r>
      <w:r w:rsidR="00E969D5" w:rsidRPr="00F27C2E">
        <w:rPr>
          <w:rFonts w:cs="Arial"/>
          <w:snapToGrid w:val="0"/>
        </w:rPr>
        <w:t>, con el fin de obtener los recursos provenientes del Impuesto sobre la Renta para la Equidad (CREE), en los términos que establece la presente resolución.</w:t>
      </w:r>
      <w:r w:rsidR="00E969D5">
        <w:rPr>
          <w:rFonts w:cs="Arial"/>
          <w:snapToGrid w:val="0"/>
        </w:rPr>
        <w:t xml:space="preserve"> </w:t>
      </w:r>
    </w:p>
    <w:p w14:paraId="56325F38" w14:textId="77777777" w:rsidR="00E969D5" w:rsidRDefault="00E969D5" w:rsidP="00EB249C">
      <w:pPr>
        <w:widowControl w:val="0"/>
        <w:autoSpaceDE w:val="0"/>
        <w:autoSpaceDN w:val="0"/>
        <w:adjustRightInd w:val="0"/>
        <w:ind w:right="-79"/>
        <w:jc w:val="both"/>
        <w:rPr>
          <w:rFonts w:cs="Arial"/>
          <w:snapToGrid w:val="0"/>
        </w:rPr>
      </w:pPr>
    </w:p>
    <w:p w14:paraId="657BC0E2" w14:textId="77777777" w:rsidR="004B174C" w:rsidRDefault="00E969D5" w:rsidP="00EB249C">
      <w:pPr>
        <w:widowControl w:val="0"/>
        <w:autoSpaceDE w:val="0"/>
        <w:autoSpaceDN w:val="0"/>
        <w:adjustRightInd w:val="0"/>
        <w:ind w:right="-79"/>
        <w:jc w:val="both"/>
        <w:rPr>
          <w:rFonts w:cs="Arial"/>
          <w:snapToGrid w:val="0"/>
        </w:rPr>
      </w:pPr>
      <w:r>
        <w:rPr>
          <w:rFonts w:cs="Arial"/>
          <w:snapToGrid w:val="0"/>
        </w:rPr>
        <w:t xml:space="preserve">Los planes de que trata este artículo deberán </w:t>
      </w:r>
      <w:r w:rsidRPr="00BE6A86">
        <w:rPr>
          <w:rFonts w:cs="Arial"/>
          <w:snapToGrid w:val="0"/>
        </w:rPr>
        <w:t>sujetarse a lo definido en la Guía Planes de Fomento a la Calidad en la Educación Superior 2016</w:t>
      </w:r>
      <w:r w:rsidRPr="00C5228F">
        <w:rPr>
          <w:rFonts w:cs="Arial"/>
          <w:snapToGrid w:val="0"/>
        </w:rPr>
        <w:t xml:space="preserve"> y estar</w:t>
      </w:r>
      <w:r>
        <w:rPr>
          <w:rFonts w:cs="Arial"/>
          <w:snapToGrid w:val="0"/>
        </w:rPr>
        <w:t xml:space="preserve"> aprobados </w:t>
      </w:r>
      <w:r w:rsidR="00BE6A86">
        <w:rPr>
          <w:rFonts w:cs="Arial"/>
          <w:snapToGrid w:val="0"/>
        </w:rPr>
        <w:t xml:space="preserve">por el rector </w:t>
      </w:r>
      <w:r w:rsidR="008E7027">
        <w:rPr>
          <w:rFonts w:cs="Arial"/>
          <w:snapToGrid w:val="0"/>
        </w:rPr>
        <w:t>de la respectiva</w:t>
      </w:r>
      <w:r w:rsidR="00BE6A86">
        <w:rPr>
          <w:rFonts w:cs="Arial"/>
          <w:snapToGrid w:val="0"/>
        </w:rPr>
        <w:t xml:space="preserve"> institución de educación superior oficial. </w:t>
      </w:r>
    </w:p>
    <w:p w14:paraId="57A37A43" w14:textId="77777777" w:rsidR="004B174C" w:rsidRDefault="004B174C" w:rsidP="00EB249C">
      <w:pPr>
        <w:widowControl w:val="0"/>
        <w:autoSpaceDE w:val="0"/>
        <w:autoSpaceDN w:val="0"/>
        <w:adjustRightInd w:val="0"/>
        <w:ind w:right="-79"/>
        <w:jc w:val="both"/>
        <w:rPr>
          <w:rFonts w:cs="Arial"/>
          <w:snapToGrid w:val="0"/>
        </w:rPr>
      </w:pPr>
    </w:p>
    <w:p w14:paraId="35964637" w14:textId="77777777" w:rsidR="004B174C" w:rsidRDefault="004B174C" w:rsidP="004B174C">
      <w:pPr>
        <w:pStyle w:val="Default"/>
        <w:jc w:val="both"/>
        <w:rPr>
          <w:snapToGrid w:val="0"/>
        </w:rPr>
      </w:pPr>
      <w:r w:rsidRPr="004B174C">
        <w:rPr>
          <w:snapToGrid w:val="0"/>
        </w:rPr>
        <w:t>Las metas en los indicadores propuestos por cada una de las instituciones de educación superior oficiales en las vigencias anteriores no podrán ser modificadas por ellas, en el marco de la formulación del Plan de F</w:t>
      </w:r>
      <w:r>
        <w:rPr>
          <w:snapToGrid w:val="0"/>
        </w:rPr>
        <w:t>omento a la Calidad del año 2017</w:t>
      </w:r>
      <w:r w:rsidRPr="004B174C">
        <w:rPr>
          <w:snapToGrid w:val="0"/>
        </w:rPr>
        <w:t>.</w:t>
      </w:r>
      <w:r>
        <w:rPr>
          <w:snapToGrid w:val="0"/>
        </w:rPr>
        <w:t xml:space="preserve"> </w:t>
      </w:r>
    </w:p>
    <w:p w14:paraId="611078B5" w14:textId="77777777" w:rsidR="004B174C" w:rsidRDefault="004B174C" w:rsidP="00EB249C">
      <w:pPr>
        <w:widowControl w:val="0"/>
        <w:autoSpaceDE w:val="0"/>
        <w:autoSpaceDN w:val="0"/>
        <w:adjustRightInd w:val="0"/>
        <w:ind w:right="-79"/>
        <w:jc w:val="both"/>
        <w:rPr>
          <w:rFonts w:cs="Arial"/>
          <w:snapToGrid w:val="0"/>
        </w:rPr>
      </w:pPr>
    </w:p>
    <w:p w14:paraId="4FF39198" w14:textId="77777777" w:rsidR="00E969D5" w:rsidRDefault="00E969D5" w:rsidP="00354ADA">
      <w:pPr>
        <w:widowControl w:val="0"/>
        <w:autoSpaceDE w:val="0"/>
        <w:autoSpaceDN w:val="0"/>
        <w:adjustRightInd w:val="0"/>
        <w:ind w:right="-79"/>
        <w:jc w:val="both"/>
        <w:rPr>
          <w:rFonts w:cs="Arial"/>
          <w:b/>
          <w:snapToGrid w:val="0"/>
        </w:rPr>
      </w:pPr>
      <w:r w:rsidRPr="00354ADA">
        <w:rPr>
          <w:rFonts w:cs="Arial"/>
          <w:b/>
          <w:snapToGrid w:val="0"/>
        </w:rPr>
        <w:t xml:space="preserve">Artículo </w:t>
      </w:r>
      <w:r>
        <w:rPr>
          <w:rFonts w:cs="Arial"/>
          <w:b/>
          <w:snapToGrid w:val="0"/>
        </w:rPr>
        <w:t>2</w:t>
      </w:r>
      <w:r w:rsidRPr="00354ADA">
        <w:rPr>
          <w:rFonts w:cs="Arial"/>
          <w:b/>
          <w:snapToGrid w:val="0"/>
        </w:rPr>
        <w:t>.</w:t>
      </w:r>
      <w:r>
        <w:rPr>
          <w:rFonts w:cs="Arial"/>
          <w:b/>
          <w:snapToGrid w:val="0"/>
        </w:rPr>
        <w:t xml:space="preserve"> </w:t>
      </w:r>
      <w:r w:rsidR="00936DA8" w:rsidRPr="00BB6B35">
        <w:rPr>
          <w:rFonts w:cs="Arial"/>
          <w:b/>
          <w:i/>
          <w:snapToGrid w:val="0"/>
        </w:rPr>
        <w:t>Distribución de los recursos</w:t>
      </w:r>
      <w:r w:rsidR="00CC0028">
        <w:rPr>
          <w:rFonts w:cs="Arial"/>
          <w:b/>
          <w:i/>
          <w:snapToGrid w:val="0"/>
        </w:rPr>
        <w:t>.</w:t>
      </w:r>
      <w:r w:rsidR="0060346F" w:rsidRPr="00354ADA">
        <w:rPr>
          <w:rFonts w:cs="Arial"/>
          <w:b/>
          <w:snapToGrid w:val="0"/>
        </w:rPr>
        <w:t xml:space="preserve"> </w:t>
      </w:r>
      <w:r>
        <w:rPr>
          <w:rFonts w:cs="Arial"/>
        </w:rPr>
        <w:t>El 75% del total de los recursos</w:t>
      </w:r>
      <w:r w:rsidRPr="00E969D5">
        <w:rPr>
          <w:rFonts w:cs="Arial"/>
          <w:snapToGrid w:val="0"/>
        </w:rPr>
        <w:t xml:space="preserve"> provenientes del Impuesto sobre la Renta para la Equidad (CREE) que estén destinados a las instituciones de educación superior oficiales</w:t>
      </w:r>
      <w:r w:rsidR="00DE6624">
        <w:rPr>
          <w:rFonts w:cs="Arial"/>
          <w:snapToGrid w:val="0"/>
        </w:rPr>
        <w:t xml:space="preserve"> </w:t>
      </w:r>
      <w:r w:rsidR="00DE6624" w:rsidRPr="004B174C">
        <w:rPr>
          <w:rFonts w:cs="Arial"/>
          <w:snapToGrid w:val="0"/>
        </w:rPr>
        <w:t xml:space="preserve">para la </w:t>
      </w:r>
      <w:r w:rsidR="004B174C" w:rsidRPr="004B174C">
        <w:rPr>
          <w:rFonts w:cs="Arial"/>
          <w:snapToGrid w:val="0"/>
        </w:rPr>
        <w:t>vigencia 2017</w:t>
      </w:r>
      <w:r w:rsidR="00DE6624" w:rsidRPr="004B174C">
        <w:rPr>
          <w:rFonts w:cs="Arial"/>
          <w:snapToGrid w:val="0"/>
        </w:rPr>
        <w:t>, estarán</w:t>
      </w:r>
      <w:r w:rsidR="00DE6624">
        <w:rPr>
          <w:rFonts w:cs="Arial"/>
          <w:snapToGrid w:val="0"/>
        </w:rPr>
        <w:t xml:space="preserve"> previstos </w:t>
      </w:r>
      <w:r w:rsidR="00DE6624">
        <w:rPr>
          <w:rFonts w:cs="Arial"/>
        </w:rPr>
        <w:t xml:space="preserve">para un primer grupo conformado por las universidades oficiales y el 25% restante para un segundo grupo compuesto por las instituciones de educación superior </w:t>
      </w:r>
      <w:r w:rsidR="00DE6624" w:rsidRPr="008D4EDF">
        <w:rPr>
          <w:rFonts w:cs="Arial"/>
        </w:rPr>
        <w:t>con carácter de instituciones tecnológicas, instituciones universitarias o escuelas tecnológicas</w:t>
      </w:r>
      <w:r w:rsidR="00DE6624">
        <w:rPr>
          <w:rFonts w:cs="Arial"/>
        </w:rPr>
        <w:t>,</w:t>
      </w:r>
      <w:r w:rsidR="00DE6624" w:rsidRPr="008D4EDF">
        <w:rPr>
          <w:rFonts w:cs="Arial"/>
        </w:rPr>
        <w:t xml:space="preserve"> e instituciones técnicas profesionales</w:t>
      </w:r>
      <w:r w:rsidR="00DE6624">
        <w:rPr>
          <w:rFonts w:cs="Arial"/>
        </w:rPr>
        <w:t xml:space="preserve">. </w:t>
      </w:r>
    </w:p>
    <w:p w14:paraId="4E2545E4" w14:textId="77777777" w:rsidR="00E969D5" w:rsidRDefault="00E969D5" w:rsidP="00354ADA">
      <w:pPr>
        <w:widowControl w:val="0"/>
        <w:autoSpaceDE w:val="0"/>
        <w:autoSpaceDN w:val="0"/>
        <w:adjustRightInd w:val="0"/>
        <w:ind w:right="-79"/>
        <w:jc w:val="both"/>
        <w:rPr>
          <w:rFonts w:cs="Arial"/>
          <w:b/>
          <w:snapToGrid w:val="0"/>
        </w:rPr>
      </w:pPr>
    </w:p>
    <w:p w14:paraId="06F71539" w14:textId="77777777" w:rsidR="00E969D5" w:rsidRPr="00DE6624" w:rsidRDefault="00DE6624" w:rsidP="00354ADA">
      <w:pPr>
        <w:widowControl w:val="0"/>
        <w:autoSpaceDE w:val="0"/>
        <w:autoSpaceDN w:val="0"/>
        <w:adjustRightInd w:val="0"/>
        <w:ind w:right="-79"/>
        <w:jc w:val="both"/>
        <w:rPr>
          <w:rFonts w:cs="Arial"/>
          <w:snapToGrid w:val="0"/>
        </w:rPr>
      </w:pPr>
      <w:r>
        <w:rPr>
          <w:rFonts w:cs="Arial"/>
          <w:snapToGrid w:val="0"/>
        </w:rPr>
        <w:t xml:space="preserve">Los recursos destinados para cada uno de los anteriores grupos </w:t>
      </w:r>
      <w:r w:rsidRPr="00E969D5">
        <w:rPr>
          <w:rFonts w:cs="Arial"/>
          <w:snapToGrid w:val="0"/>
        </w:rPr>
        <w:t>serán distribuidos</w:t>
      </w:r>
      <w:r w:rsidRPr="00DE6624">
        <w:rPr>
          <w:rFonts w:cs="Arial"/>
          <w:snapToGrid w:val="0"/>
        </w:rPr>
        <w:t xml:space="preserve"> </w:t>
      </w:r>
      <w:r w:rsidRPr="00E969D5">
        <w:rPr>
          <w:rFonts w:cs="Arial"/>
          <w:snapToGrid w:val="0"/>
        </w:rPr>
        <w:t>de acuerdo con los siguientes criterios:</w:t>
      </w:r>
    </w:p>
    <w:p w14:paraId="4FF5D391" w14:textId="77777777" w:rsidR="00E969D5" w:rsidRDefault="00E969D5" w:rsidP="00354ADA">
      <w:pPr>
        <w:widowControl w:val="0"/>
        <w:autoSpaceDE w:val="0"/>
        <w:autoSpaceDN w:val="0"/>
        <w:adjustRightInd w:val="0"/>
        <w:ind w:right="-79"/>
        <w:jc w:val="both"/>
        <w:rPr>
          <w:rFonts w:cs="Arial"/>
          <w:b/>
          <w:snapToGrid w:val="0"/>
        </w:rPr>
      </w:pPr>
    </w:p>
    <w:p w14:paraId="24C253CB" w14:textId="77777777" w:rsidR="00CC0028" w:rsidRDefault="00DE6624" w:rsidP="00CC0028">
      <w:pPr>
        <w:widowControl w:val="0"/>
        <w:numPr>
          <w:ilvl w:val="0"/>
          <w:numId w:val="21"/>
        </w:numPr>
        <w:autoSpaceDE w:val="0"/>
        <w:autoSpaceDN w:val="0"/>
        <w:adjustRightInd w:val="0"/>
        <w:ind w:right="-79"/>
        <w:jc w:val="both"/>
        <w:rPr>
          <w:rFonts w:cs="Arial"/>
        </w:rPr>
      </w:pPr>
      <w:r>
        <w:rPr>
          <w:rFonts w:cs="Arial"/>
        </w:rPr>
        <w:t xml:space="preserve">Cada institución de educación </w:t>
      </w:r>
      <w:r w:rsidRPr="004B174C">
        <w:rPr>
          <w:rFonts w:cs="Arial"/>
        </w:rPr>
        <w:t>superior recibirá e</w:t>
      </w:r>
      <w:r w:rsidR="004B174C" w:rsidRPr="004B174C">
        <w:rPr>
          <w:rFonts w:cs="Arial"/>
        </w:rPr>
        <w:t>l 30</w:t>
      </w:r>
      <w:r w:rsidR="00CC0028" w:rsidRPr="004B174C">
        <w:rPr>
          <w:rFonts w:cs="Arial"/>
        </w:rPr>
        <w:t>% de los</w:t>
      </w:r>
      <w:r w:rsidR="00CC0028" w:rsidRPr="00CC0028">
        <w:rPr>
          <w:rFonts w:cs="Arial"/>
        </w:rPr>
        <w:t xml:space="preserve"> recursos</w:t>
      </w:r>
      <w:r>
        <w:rPr>
          <w:rFonts w:cs="Arial"/>
        </w:rPr>
        <w:t xml:space="preserve"> que les fueron</w:t>
      </w:r>
      <w:r w:rsidR="00CC0028" w:rsidRPr="00CC0028">
        <w:rPr>
          <w:rFonts w:cs="Arial"/>
        </w:rPr>
        <w:t xml:space="preserve"> transferidos en </w:t>
      </w:r>
      <w:r w:rsidR="00CC0028" w:rsidRPr="004B174C">
        <w:rPr>
          <w:rFonts w:cs="Arial"/>
        </w:rPr>
        <w:t>la vigencia 201</w:t>
      </w:r>
      <w:r w:rsidR="004B174C" w:rsidRPr="004B174C">
        <w:rPr>
          <w:rFonts w:cs="Arial"/>
        </w:rPr>
        <w:t>6</w:t>
      </w:r>
      <w:r w:rsidR="00CC0028" w:rsidRPr="004B174C">
        <w:rPr>
          <w:rFonts w:cs="Arial"/>
        </w:rPr>
        <w:t xml:space="preserve"> por Impuesto</w:t>
      </w:r>
      <w:r w:rsidR="00CC0028" w:rsidRPr="00CC0028">
        <w:rPr>
          <w:rFonts w:cs="Arial"/>
        </w:rPr>
        <w:t xml:space="preserve"> a la Renta para la Equidad (CREE).</w:t>
      </w:r>
    </w:p>
    <w:p w14:paraId="4E155EB9" w14:textId="77777777" w:rsidR="00CC0028" w:rsidRDefault="00CC0028" w:rsidP="00CC0028">
      <w:pPr>
        <w:widowControl w:val="0"/>
        <w:autoSpaceDE w:val="0"/>
        <w:autoSpaceDN w:val="0"/>
        <w:adjustRightInd w:val="0"/>
        <w:ind w:left="720" w:right="-79"/>
        <w:jc w:val="both"/>
        <w:rPr>
          <w:rFonts w:cs="Arial"/>
        </w:rPr>
      </w:pPr>
    </w:p>
    <w:p w14:paraId="24DFC017" w14:textId="77777777" w:rsidR="009313C5" w:rsidRPr="00354ADA" w:rsidRDefault="00EF5F8A" w:rsidP="00CC0028">
      <w:pPr>
        <w:widowControl w:val="0"/>
        <w:numPr>
          <w:ilvl w:val="0"/>
          <w:numId w:val="21"/>
        </w:numPr>
        <w:autoSpaceDE w:val="0"/>
        <w:autoSpaceDN w:val="0"/>
        <w:adjustRightInd w:val="0"/>
        <w:ind w:right="-79"/>
        <w:jc w:val="both"/>
        <w:rPr>
          <w:rFonts w:cs="Arial"/>
        </w:rPr>
      </w:pPr>
      <w:r>
        <w:rPr>
          <w:rFonts w:cs="Arial"/>
        </w:rPr>
        <w:t>L</w:t>
      </w:r>
      <w:r w:rsidR="009313C5" w:rsidRPr="00354ADA">
        <w:rPr>
          <w:rFonts w:cs="Arial"/>
        </w:rPr>
        <w:t>os recursos restantes</w:t>
      </w:r>
      <w:r>
        <w:rPr>
          <w:rFonts w:cs="Arial"/>
        </w:rPr>
        <w:t>,</w:t>
      </w:r>
      <w:r w:rsidR="009313C5" w:rsidRPr="00354ADA">
        <w:rPr>
          <w:rFonts w:cs="Arial"/>
        </w:rPr>
        <w:t xml:space="preserve"> se distribuirán de la siguiente manera</w:t>
      </w:r>
      <w:r w:rsidR="00FC5FC3" w:rsidRPr="00354ADA">
        <w:rPr>
          <w:rFonts w:cs="Arial"/>
        </w:rPr>
        <w:t>:</w:t>
      </w:r>
    </w:p>
    <w:p w14:paraId="36D906E0" w14:textId="77777777" w:rsidR="00E730C4" w:rsidRPr="00354ADA" w:rsidRDefault="00E730C4" w:rsidP="00CC0028">
      <w:pPr>
        <w:widowControl w:val="0"/>
        <w:autoSpaceDE w:val="0"/>
        <w:autoSpaceDN w:val="0"/>
        <w:adjustRightInd w:val="0"/>
        <w:ind w:right="-79"/>
        <w:jc w:val="both"/>
        <w:rPr>
          <w:rFonts w:cs="Arial"/>
        </w:rPr>
      </w:pPr>
    </w:p>
    <w:p w14:paraId="3EE99505" w14:textId="77777777" w:rsidR="00603F06" w:rsidRPr="00354ADA" w:rsidRDefault="00EF5F8A" w:rsidP="00D46F9B">
      <w:pPr>
        <w:pStyle w:val="Default"/>
        <w:numPr>
          <w:ilvl w:val="1"/>
          <w:numId w:val="21"/>
        </w:numPr>
        <w:jc w:val="both"/>
      </w:pPr>
      <w:r>
        <w:lastRenderedPageBreak/>
        <w:t>E</w:t>
      </w:r>
      <w:r w:rsidR="008D7B2F">
        <w:t xml:space="preserve">l </w:t>
      </w:r>
      <w:r w:rsidR="004B174C">
        <w:t>2</w:t>
      </w:r>
      <w:r w:rsidR="00D822FA" w:rsidRPr="00354ADA">
        <w:t>0</w:t>
      </w:r>
      <w:r w:rsidR="009313C5" w:rsidRPr="00354ADA">
        <w:t>%</w:t>
      </w:r>
      <w:r w:rsidR="008D4EDF">
        <w:t>,</w:t>
      </w:r>
      <w:r w:rsidR="009313C5" w:rsidRPr="00354ADA">
        <w:t xml:space="preserve"> según la participación</w:t>
      </w:r>
      <w:r w:rsidR="008E7027">
        <w:t xml:space="preserve"> de la matrícula de cada institución de educación superior oficial en el total de la matrícula del conjunto de instituciones del grupo correspondiente de la </w:t>
      </w:r>
      <w:r w:rsidR="008D4EDF" w:rsidRPr="004B174C">
        <w:t xml:space="preserve">vigencia </w:t>
      </w:r>
      <w:r w:rsidR="008E7027">
        <w:t>2016</w:t>
      </w:r>
      <w:r w:rsidR="00715C90">
        <w:t>.</w:t>
      </w:r>
      <w:r w:rsidR="00107B3B">
        <w:t xml:space="preserve">  </w:t>
      </w:r>
      <w:r w:rsidR="009313C5" w:rsidRPr="00354ADA">
        <w:t xml:space="preserve"> </w:t>
      </w:r>
      <w:r w:rsidR="007349D8" w:rsidRPr="00354ADA">
        <w:t xml:space="preserve"> </w:t>
      </w:r>
    </w:p>
    <w:p w14:paraId="2206ABE6" w14:textId="77777777" w:rsidR="00603F06" w:rsidRPr="00354ADA" w:rsidRDefault="00603F06" w:rsidP="00CC0028">
      <w:pPr>
        <w:pStyle w:val="Default"/>
        <w:ind w:left="360"/>
        <w:jc w:val="both"/>
      </w:pPr>
    </w:p>
    <w:p w14:paraId="74FD4A2D" w14:textId="77777777" w:rsidR="00C50170" w:rsidRPr="00354ADA" w:rsidRDefault="00B37451" w:rsidP="00D46F9B">
      <w:pPr>
        <w:pStyle w:val="Default"/>
        <w:ind w:left="709"/>
        <w:jc w:val="both"/>
      </w:pPr>
      <w:r>
        <w:t>La participación en l</w:t>
      </w:r>
      <w:r w:rsidR="007349D8" w:rsidRPr="00354ADA">
        <w:t xml:space="preserve">a matrícula </w:t>
      </w:r>
      <w:r>
        <w:t xml:space="preserve">será ponderada según la </w:t>
      </w:r>
      <w:r w:rsidR="007349D8" w:rsidRPr="00354ADA">
        <w:t>metodología</w:t>
      </w:r>
      <w:r>
        <w:t xml:space="preserve"> de los programas académicos, dando a la matrícula de programas </w:t>
      </w:r>
      <w:r w:rsidR="007349D8" w:rsidRPr="00354ADA">
        <w:t xml:space="preserve">a distancia tradicional y virtual </w:t>
      </w:r>
      <w:r>
        <w:t>una ponderación de</w:t>
      </w:r>
      <w:r w:rsidR="007349D8" w:rsidRPr="00354ADA">
        <w:t xml:space="preserve"> 0</w:t>
      </w:r>
      <w:r w:rsidR="00A959DE" w:rsidRPr="00354ADA">
        <w:t>,</w:t>
      </w:r>
      <w:r w:rsidR="007349D8" w:rsidRPr="00354ADA">
        <w:t>6</w:t>
      </w:r>
      <w:r w:rsidR="00D42551">
        <w:t xml:space="preserve"> y a la matrícula de programas presenciales una ponderación de 1</w:t>
      </w:r>
      <w:r w:rsidR="007349D8" w:rsidRPr="00354ADA">
        <w:t>.</w:t>
      </w:r>
    </w:p>
    <w:p w14:paraId="3413A652" w14:textId="77777777" w:rsidR="00C50170" w:rsidRPr="00354ADA" w:rsidRDefault="00C50170" w:rsidP="008D4EDF">
      <w:pPr>
        <w:pStyle w:val="Default"/>
        <w:jc w:val="both"/>
      </w:pPr>
    </w:p>
    <w:p w14:paraId="70E068EF" w14:textId="77777777" w:rsidR="009313C5" w:rsidRPr="00354ADA" w:rsidRDefault="00B37451" w:rsidP="00D46F9B">
      <w:pPr>
        <w:pStyle w:val="Default"/>
        <w:ind w:left="709"/>
        <w:jc w:val="both"/>
      </w:pPr>
      <w:r w:rsidRPr="004B174C">
        <w:t xml:space="preserve">Así mismo, </w:t>
      </w:r>
      <w:r w:rsidR="00FE5FF2" w:rsidRPr="004B174C">
        <w:t xml:space="preserve">la </w:t>
      </w:r>
      <w:r w:rsidR="00EA6C5D" w:rsidRPr="004B174C">
        <w:t xml:space="preserve">distribución según la participación de la </w:t>
      </w:r>
      <w:r w:rsidR="00FE5FF2" w:rsidRPr="004B174C">
        <w:t xml:space="preserve">matrícula de cada institución será ponderada </w:t>
      </w:r>
      <w:r w:rsidR="008E7027">
        <w:t xml:space="preserve">con el porcentaje establecido en el artículo </w:t>
      </w:r>
      <w:r w:rsidR="00EC1AC4" w:rsidRPr="004B174C">
        <w:t xml:space="preserve">2.5.4.4.2.6 del Decreto </w:t>
      </w:r>
      <w:r w:rsidR="00F62373" w:rsidRPr="004B174C">
        <w:t xml:space="preserve">1075 </w:t>
      </w:r>
      <w:r w:rsidR="001946D2" w:rsidRPr="004B174C">
        <w:t>de 2015</w:t>
      </w:r>
      <w:r w:rsidR="008E7027">
        <w:t>, referido a las sanciones administrativas que haya impuesto el Ministerio de Educación Nacional.</w:t>
      </w:r>
    </w:p>
    <w:p w14:paraId="6C268E29" w14:textId="77777777" w:rsidR="00603F06" w:rsidRPr="00354ADA" w:rsidRDefault="00603F06" w:rsidP="00354ADA">
      <w:pPr>
        <w:pStyle w:val="Default"/>
        <w:ind w:left="709"/>
        <w:jc w:val="both"/>
      </w:pPr>
    </w:p>
    <w:p w14:paraId="0D96F6FE" w14:textId="1E4A1DB3" w:rsidR="000A0B99" w:rsidRDefault="00A959DE" w:rsidP="008C02A1">
      <w:pPr>
        <w:pStyle w:val="Default"/>
        <w:numPr>
          <w:ilvl w:val="1"/>
          <w:numId w:val="21"/>
        </w:numPr>
        <w:jc w:val="both"/>
      </w:pPr>
      <w:r w:rsidRPr="00354ADA">
        <w:t xml:space="preserve">El </w:t>
      </w:r>
      <w:r w:rsidR="004B174C">
        <w:t>8</w:t>
      </w:r>
      <w:r w:rsidR="002A380E">
        <w:t>0</w:t>
      </w:r>
      <w:r w:rsidR="00901E42">
        <w:t xml:space="preserve">% </w:t>
      </w:r>
      <w:r w:rsidR="0037599E" w:rsidRPr="00354ADA">
        <w:t>restante</w:t>
      </w:r>
      <w:r w:rsidR="008E7027">
        <w:t>,</w:t>
      </w:r>
      <w:r w:rsidR="0037599E" w:rsidRPr="00354ADA">
        <w:t xml:space="preserve"> se </w:t>
      </w:r>
      <w:r w:rsidR="00DF74FF" w:rsidRPr="00354ADA">
        <w:t>distribuirá</w:t>
      </w:r>
      <w:r w:rsidR="0037599E" w:rsidRPr="00354ADA">
        <w:t xml:space="preserve"> </w:t>
      </w:r>
      <w:r w:rsidR="008C02A1" w:rsidRPr="00354ADA">
        <w:t xml:space="preserve">conforme </w:t>
      </w:r>
      <w:r w:rsidR="008C02A1" w:rsidRPr="00D54F4D">
        <w:t xml:space="preserve">los proyectos de inversión </w:t>
      </w:r>
      <w:r w:rsidR="008C02A1">
        <w:t xml:space="preserve">que </w:t>
      </w:r>
      <w:r w:rsidR="008C02A1" w:rsidRPr="00D54F4D">
        <w:t>serán medidos por el Ministerio de Educación Nacional a través de un grupo de seis indicadores para universidades y cinco indicadores para las instituciones con otro carácter académico, los cuales están asociados a las condiciones de calidad educativa.</w:t>
      </w:r>
      <w:r w:rsidR="008C02A1" w:rsidRPr="00D536FB">
        <w:t xml:space="preserve"> </w:t>
      </w:r>
      <w:r w:rsidR="008C02A1" w:rsidRPr="00D54F4D">
        <w:t>Cada uno de estos indicadores, para cada grupo de instituciones</w:t>
      </w:r>
      <w:r w:rsidR="008C02A1">
        <w:t xml:space="preserve">, </w:t>
      </w:r>
      <w:r w:rsidR="008C02A1" w:rsidRPr="00D54F4D">
        <w:t xml:space="preserve">cuenta con una ponderación </w:t>
      </w:r>
      <w:r w:rsidR="008C02A1">
        <w:t>diferente conformada así</w:t>
      </w:r>
      <w:r w:rsidR="008C02A1" w:rsidRPr="00D54F4D">
        <w:t>:</w:t>
      </w:r>
    </w:p>
    <w:p w14:paraId="738E1C34" w14:textId="77777777" w:rsidR="000A0B99" w:rsidRDefault="000A0B99" w:rsidP="000A0B99">
      <w:pPr>
        <w:pStyle w:val="Default"/>
        <w:ind w:left="720"/>
        <w:jc w:val="both"/>
      </w:pPr>
    </w:p>
    <w:tbl>
      <w:tblPr>
        <w:tblW w:w="499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7"/>
        <w:gridCol w:w="637"/>
        <w:gridCol w:w="4044"/>
        <w:gridCol w:w="887"/>
      </w:tblGrid>
      <w:tr w:rsidR="00C74225" w:rsidRPr="000A0B99" w14:paraId="7F82B558" w14:textId="77777777" w:rsidTr="00886D12">
        <w:trPr>
          <w:trHeight w:val="1033"/>
        </w:trPr>
        <w:tc>
          <w:tcPr>
            <w:tcW w:w="2376" w:type="pct"/>
            <w:gridSpan w:val="2"/>
            <w:tcBorders>
              <w:top w:val="single" w:sz="4" w:space="0" w:color="auto"/>
              <w:left w:val="single" w:sz="4" w:space="0" w:color="auto"/>
              <w:bottom w:val="single" w:sz="4" w:space="0" w:color="auto"/>
              <w:right w:val="single" w:sz="4" w:space="0" w:color="auto"/>
            </w:tcBorders>
            <w:noWrap/>
            <w:vAlign w:val="center"/>
            <w:hideMark/>
          </w:tcPr>
          <w:p w14:paraId="2DDCDDFE" w14:textId="77777777" w:rsidR="00C74225" w:rsidRPr="00D54F4D" w:rsidRDefault="00C74225" w:rsidP="000E08BC">
            <w:pPr>
              <w:jc w:val="center"/>
              <w:rPr>
                <w:rFonts w:cs="Arial"/>
                <w:b/>
                <w:bCs/>
                <w:color w:val="000000"/>
                <w:sz w:val="20"/>
                <w:lang w:eastAsia="es-CO"/>
              </w:rPr>
            </w:pPr>
            <w:r w:rsidRPr="00D54F4D">
              <w:rPr>
                <w:rFonts w:cs="Arial"/>
                <w:b/>
                <w:bCs/>
                <w:color w:val="000000"/>
                <w:sz w:val="20"/>
                <w:lang w:eastAsia="es-CO"/>
              </w:rPr>
              <w:t>UNIVERSIDADES</w:t>
            </w:r>
          </w:p>
        </w:tc>
        <w:tc>
          <w:tcPr>
            <w:tcW w:w="2624" w:type="pct"/>
            <w:gridSpan w:val="2"/>
            <w:tcBorders>
              <w:top w:val="single" w:sz="4" w:space="0" w:color="auto"/>
              <w:left w:val="single" w:sz="4" w:space="0" w:color="auto"/>
              <w:bottom w:val="single" w:sz="4" w:space="0" w:color="auto"/>
              <w:right w:val="single" w:sz="4" w:space="0" w:color="auto"/>
            </w:tcBorders>
            <w:noWrap/>
            <w:vAlign w:val="center"/>
            <w:hideMark/>
          </w:tcPr>
          <w:p w14:paraId="0D3D30B8" w14:textId="06D2495A" w:rsidR="00C74225" w:rsidRPr="00D54F4D" w:rsidRDefault="00C74225" w:rsidP="000E08BC">
            <w:pPr>
              <w:jc w:val="center"/>
              <w:rPr>
                <w:rFonts w:cs="Arial"/>
                <w:b/>
                <w:bCs/>
                <w:color w:val="000000"/>
                <w:sz w:val="20"/>
                <w:lang w:eastAsia="es-CO"/>
              </w:rPr>
            </w:pPr>
            <w:r w:rsidRPr="00D54F4D">
              <w:rPr>
                <w:rFonts w:cs="Arial"/>
                <w:b/>
                <w:bCs/>
                <w:color w:val="000000"/>
                <w:sz w:val="20"/>
                <w:lang w:eastAsia="es-CO"/>
              </w:rPr>
              <w:t>INSTITUCIONES TECNOLÓGICAS, INSTITUCIONES UNIVERSITARIAS O ESCUELAS TECNOLÓGICAS, E INSTITUCIONES TÉCNICAS PROFESIONALES</w:t>
            </w:r>
          </w:p>
        </w:tc>
      </w:tr>
      <w:tr w:rsidR="00C74225" w:rsidRPr="000A0B99" w14:paraId="7B19E156" w14:textId="77777777" w:rsidTr="00886D12">
        <w:trPr>
          <w:trHeight w:val="440"/>
        </w:trPr>
        <w:tc>
          <w:tcPr>
            <w:tcW w:w="2037" w:type="pct"/>
            <w:tcBorders>
              <w:top w:val="single" w:sz="4" w:space="0" w:color="auto"/>
              <w:left w:val="single" w:sz="4" w:space="0" w:color="auto"/>
              <w:bottom w:val="single" w:sz="4" w:space="0" w:color="auto"/>
              <w:right w:val="single" w:sz="4" w:space="0" w:color="auto"/>
            </w:tcBorders>
            <w:noWrap/>
            <w:vAlign w:val="center"/>
          </w:tcPr>
          <w:p w14:paraId="5473DB24" w14:textId="77777777" w:rsidR="00C74225" w:rsidRPr="00D54F4D" w:rsidRDefault="00C74225" w:rsidP="005E6E01">
            <w:pPr>
              <w:jc w:val="both"/>
              <w:rPr>
                <w:rFonts w:cs="Arial"/>
                <w:b/>
                <w:bCs/>
                <w:color w:val="000000"/>
                <w:sz w:val="20"/>
                <w:lang w:eastAsia="es-CO"/>
              </w:rPr>
            </w:pPr>
            <w:r w:rsidRPr="00D54F4D">
              <w:rPr>
                <w:rFonts w:cs="Arial"/>
                <w:b/>
                <w:bCs/>
                <w:color w:val="000000"/>
                <w:sz w:val="20"/>
                <w:lang w:eastAsia="es-CO"/>
              </w:rPr>
              <w:t>Indicador</w:t>
            </w:r>
          </w:p>
        </w:tc>
        <w:tc>
          <w:tcPr>
            <w:tcW w:w="339" w:type="pct"/>
            <w:tcBorders>
              <w:top w:val="single" w:sz="4" w:space="0" w:color="auto"/>
              <w:left w:val="single" w:sz="4" w:space="0" w:color="auto"/>
              <w:bottom w:val="single" w:sz="4" w:space="0" w:color="auto"/>
              <w:right w:val="single" w:sz="4" w:space="0" w:color="auto"/>
            </w:tcBorders>
            <w:vAlign w:val="center"/>
          </w:tcPr>
          <w:p w14:paraId="7BAADCC0" w14:textId="77777777" w:rsidR="00C74225" w:rsidRPr="00D54F4D" w:rsidRDefault="00C74225" w:rsidP="005E6E01">
            <w:pPr>
              <w:jc w:val="center"/>
              <w:rPr>
                <w:rFonts w:cs="Arial"/>
                <w:b/>
                <w:bCs/>
                <w:color w:val="000000"/>
                <w:sz w:val="20"/>
                <w:lang w:eastAsia="es-CO"/>
              </w:rPr>
            </w:pPr>
            <w:r w:rsidRPr="00D54F4D">
              <w:rPr>
                <w:rFonts w:cs="Arial"/>
                <w:b/>
                <w:bCs/>
                <w:color w:val="000000"/>
                <w:sz w:val="20"/>
                <w:lang w:eastAsia="es-CO"/>
              </w:rPr>
              <w:t>%</w:t>
            </w:r>
          </w:p>
        </w:tc>
        <w:tc>
          <w:tcPr>
            <w:tcW w:w="2152" w:type="pct"/>
            <w:tcBorders>
              <w:top w:val="single" w:sz="4" w:space="0" w:color="auto"/>
              <w:left w:val="single" w:sz="4" w:space="0" w:color="auto"/>
              <w:bottom w:val="single" w:sz="4" w:space="0" w:color="auto"/>
              <w:right w:val="single" w:sz="4" w:space="0" w:color="auto"/>
            </w:tcBorders>
            <w:noWrap/>
            <w:vAlign w:val="center"/>
          </w:tcPr>
          <w:p w14:paraId="64E3A86F" w14:textId="77777777" w:rsidR="00C74225" w:rsidRPr="00D54F4D" w:rsidRDefault="00C74225" w:rsidP="005E6E01">
            <w:pPr>
              <w:jc w:val="both"/>
              <w:rPr>
                <w:rFonts w:cs="Arial"/>
                <w:b/>
                <w:bCs/>
                <w:color w:val="000000"/>
                <w:sz w:val="20"/>
                <w:lang w:eastAsia="es-CO"/>
              </w:rPr>
            </w:pPr>
            <w:r w:rsidRPr="00D54F4D">
              <w:rPr>
                <w:rFonts w:cs="Arial"/>
                <w:b/>
                <w:bCs/>
                <w:color w:val="000000"/>
                <w:sz w:val="20"/>
                <w:lang w:eastAsia="es-CO"/>
              </w:rPr>
              <w:t>Indicador</w:t>
            </w:r>
          </w:p>
        </w:tc>
        <w:tc>
          <w:tcPr>
            <w:tcW w:w="472" w:type="pct"/>
            <w:tcBorders>
              <w:top w:val="single" w:sz="4" w:space="0" w:color="auto"/>
              <w:left w:val="single" w:sz="4" w:space="0" w:color="auto"/>
              <w:bottom w:val="single" w:sz="4" w:space="0" w:color="auto"/>
              <w:right w:val="single" w:sz="4" w:space="0" w:color="auto"/>
            </w:tcBorders>
            <w:vAlign w:val="center"/>
          </w:tcPr>
          <w:p w14:paraId="0CC19FBE" w14:textId="77777777" w:rsidR="00C74225" w:rsidRPr="00D54F4D" w:rsidRDefault="00C74225" w:rsidP="005E6E01">
            <w:pPr>
              <w:jc w:val="center"/>
              <w:rPr>
                <w:rFonts w:cs="Arial"/>
                <w:b/>
                <w:bCs/>
                <w:color w:val="000000"/>
                <w:sz w:val="20"/>
                <w:lang w:eastAsia="es-CO"/>
              </w:rPr>
            </w:pPr>
            <w:r w:rsidRPr="00D54F4D">
              <w:rPr>
                <w:rFonts w:cs="Arial"/>
                <w:b/>
                <w:bCs/>
                <w:color w:val="000000"/>
                <w:sz w:val="20"/>
                <w:lang w:eastAsia="es-CO"/>
              </w:rPr>
              <w:t>%</w:t>
            </w:r>
          </w:p>
        </w:tc>
      </w:tr>
      <w:tr w:rsidR="005E6E01" w:rsidRPr="000A0B99" w14:paraId="390D9977" w14:textId="77777777" w:rsidTr="00886D12">
        <w:trPr>
          <w:trHeight w:val="460"/>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68B9E"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Variación relativa de la tasa de retención</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6986EB1C"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20%</w:t>
            </w:r>
          </w:p>
        </w:tc>
        <w:tc>
          <w:tcPr>
            <w:tcW w:w="2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F692A5"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Variación relativa de la tasa de retención</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4964BF59"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25%</w:t>
            </w:r>
          </w:p>
        </w:tc>
      </w:tr>
      <w:tr w:rsidR="005E6E01" w:rsidRPr="000A0B99" w14:paraId="1C77868A" w14:textId="77777777" w:rsidTr="00886D12">
        <w:trPr>
          <w:trHeight w:val="828"/>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C545CB"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 xml:space="preserve">Variación relativa en la tasa de </w:t>
            </w:r>
            <w:r w:rsidR="00D22D2D">
              <w:rPr>
                <w:rFonts w:cs="Arial"/>
                <w:sz w:val="20"/>
                <w:szCs w:val="20"/>
              </w:rPr>
              <w:t>g</w:t>
            </w:r>
            <w:r w:rsidRPr="005E6E01">
              <w:rPr>
                <w:rFonts w:cs="Arial"/>
                <w:sz w:val="20"/>
                <w:szCs w:val="20"/>
              </w:rPr>
              <w:t>raduación de pregrado</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0013553E"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20%</w:t>
            </w:r>
          </w:p>
        </w:tc>
        <w:tc>
          <w:tcPr>
            <w:tcW w:w="2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B9CC7F"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 xml:space="preserve">Variación relativa en la tasa de </w:t>
            </w:r>
            <w:r w:rsidR="00D22D2D">
              <w:rPr>
                <w:rFonts w:cs="Arial"/>
                <w:sz w:val="20"/>
                <w:szCs w:val="20"/>
              </w:rPr>
              <w:t>g</w:t>
            </w:r>
            <w:r w:rsidRPr="005E6E01">
              <w:rPr>
                <w:rFonts w:cs="Arial"/>
                <w:sz w:val="20"/>
                <w:szCs w:val="20"/>
              </w:rPr>
              <w:t>raduación de pregrado</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72E6D49D"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25%</w:t>
            </w:r>
          </w:p>
        </w:tc>
      </w:tr>
      <w:tr w:rsidR="005E6E01" w:rsidRPr="000A0B99" w14:paraId="70E95373" w14:textId="77777777" w:rsidTr="00886D12">
        <w:trPr>
          <w:trHeight w:val="1265"/>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710F4F"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xml:space="preserve">·   Número de programas acreditados sobre el total de programas acreditables ofrecidos por la </w:t>
            </w:r>
            <w:r w:rsidR="00886D12">
              <w:rPr>
                <w:rFonts w:cs="Arial"/>
                <w:color w:val="000000"/>
                <w:sz w:val="20"/>
                <w:szCs w:val="20"/>
                <w:lang w:eastAsia="es-CO"/>
              </w:rPr>
              <w:t>institución</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7C6525DC"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20%</w:t>
            </w:r>
          </w:p>
        </w:tc>
        <w:tc>
          <w:tcPr>
            <w:tcW w:w="2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6A52CC" w14:textId="77777777" w:rsidR="005E6E01" w:rsidRPr="005E6E01" w:rsidRDefault="005E6E01" w:rsidP="00886D12">
            <w:pPr>
              <w:ind w:left="229" w:hanging="229"/>
              <w:jc w:val="both"/>
              <w:rPr>
                <w:rFonts w:cs="Arial"/>
                <w:color w:val="000000"/>
                <w:sz w:val="20"/>
                <w:szCs w:val="20"/>
                <w:lang w:val="es-CO" w:eastAsia="es-CO"/>
              </w:rPr>
            </w:pPr>
            <w:r w:rsidRPr="005E6E01">
              <w:rPr>
                <w:rFonts w:cs="Arial"/>
                <w:color w:val="000000"/>
                <w:sz w:val="20"/>
                <w:szCs w:val="20"/>
                <w:lang w:eastAsia="es-CO"/>
              </w:rPr>
              <w:t xml:space="preserve">·   Número de programas acreditados sobre el total de programas acreditables ofrecidos por la </w:t>
            </w:r>
            <w:r w:rsidR="00886D12">
              <w:rPr>
                <w:rFonts w:cs="Arial"/>
                <w:color w:val="000000"/>
                <w:sz w:val="20"/>
                <w:szCs w:val="20"/>
                <w:lang w:eastAsia="es-CO"/>
              </w:rPr>
              <w:t>institución</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CF728E9"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25%</w:t>
            </w:r>
          </w:p>
        </w:tc>
      </w:tr>
      <w:tr w:rsidR="005E6E01" w:rsidRPr="000A0B99" w14:paraId="023D724F" w14:textId="77777777" w:rsidTr="00886D12">
        <w:trPr>
          <w:trHeight w:val="985"/>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356B1"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Resultado promedio en el módulo de Razonamiento Cuantitativo en Saber Pro</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46919E24"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10%</w:t>
            </w:r>
          </w:p>
        </w:tc>
        <w:tc>
          <w:tcPr>
            <w:tcW w:w="2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6C9CC0" w14:textId="77777777" w:rsidR="005E6E01" w:rsidRPr="005E6E01" w:rsidRDefault="005E6E01" w:rsidP="00886D12">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 xml:space="preserve">Resultado promedio en el módulo de Razonamiento Cuantitativo en Saber </w:t>
            </w:r>
            <w:r w:rsidR="00886D12">
              <w:rPr>
                <w:rFonts w:cs="Arial"/>
                <w:sz w:val="20"/>
                <w:szCs w:val="20"/>
              </w:rPr>
              <w:t>TyT</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70C64B23"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12.5%</w:t>
            </w:r>
          </w:p>
        </w:tc>
      </w:tr>
      <w:tr w:rsidR="005E6E01" w:rsidRPr="000A0B99" w14:paraId="3438B450" w14:textId="77777777" w:rsidTr="00886D12">
        <w:trPr>
          <w:trHeight w:val="842"/>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6E618" w14:textId="77777777" w:rsidR="005E6E01" w:rsidRPr="005E6E01" w:rsidRDefault="005E6E01" w:rsidP="005E6E01">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Resultado promedio en el módulo de Lectura Crítica en Saber Pro</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42C5CC56"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10%</w:t>
            </w:r>
          </w:p>
        </w:tc>
        <w:tc>
          <w:tcPr>
            <w:tcW w:w="2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3CD0C1" w14:textId="77777777" w:rsidR="005E6E01" w:rsidRPr="005E6E01" w:rsidRDefault="005E6E01" w:rsidP="00886D12">
            <w:pPr>
              <w:ind w:left="229" w:hanging="229"/>
              <w:jc w:val="both"/>
              <w:rPr>
                <w:rFonts w:cs="Arial"/>
                <w:color w:val="000000"/>
                <w:sz w:val="20"/>
                <w:szCs w:val="20"/>
                <w:lang w:val="es-CO" w:eastAsia="es-CO"/>
              </w:rPr>
            </w:pPr>
            <w:r w:rsidRPr="005E6E01">
              <w:rPr>
                <w:rFonts w:cs="Arial"/>
                <w:color w:val="000000"/>
                <w:sz w:val="20"/>
                <w:szCs w:val="20"/>
                <w:lang w:eastAsia="es-CO"/>
              </w:rPr>
              <w:t>·   </w:t>
            </w:r>
            <w:r w:rsidRPr="005E6E01">
              <w:rPr>
                <w:rFonts w:cs="Arial"/>
                <w:sz w:val="20"/>
                <w:szCs w:val="20"/>
              </w:rPr>
              <w:t xml:space="preserve">Resultado promedio en el módulo de Lectura Crítica en Saber </w:t>
            </w:r>
            <w:r w:rsidR="00886D12">
              <w:rPr>
                <w:rFonts w:cs="Arial"/>
                <w:sz w:val="20"/>
                <w:szCs w:val="20"/>
              </w:rPr>
              <w:t>TyT</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6D215EA4" w14:textId="77777777" w:rsidR="005E6E01" w:rsidRPr="005E6E01" w:rsidRDefault="005E6E01" w:rsidP="005E6E01">
            <w:pPr>
              <w:ind w:left="229" w:hanging="229"/>
              <w:jc w:val="center"/>
              <w:rPr>
                <w:rFonts w:cs="Arial"/>
                <w:color w:val="000000"/>
                <w:sz w:val="20"/>
                <w:szCs w:val="20"/>
                <w:lang w:eastAsia="es-CO"/>
              </w:rPr>
            </w:pPr>
            <w:r w:rsidRPr="005E6E01">
              <w:rPr>
                <w:rFonts w:cs="Arial"/>
                <w:color w:val="000000"/>
                <w:sz w:val="20"/>
                <w:szCs w:val="20"/>
                <w:lang w:eastAsia="es-CO"/>
              </w:rPr>
              <w:t>12.5%</w:t>
            </w:r>
          </w:p>
        </w:tc>
      </w:tr>
      <w:tr w:rsidR="00D54F4D" w:rsidRPr="000A0B99" w14:paraId="30E44183" w14:textId="77777777" w:rsidTr="00886D12">
        <w:trPr>
          <w:trHeight w:val="965"/>
        </w:trPr>
        <w:tc>
          <w:tcPr>
            <w:tcW w:w="20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6A28EA" w14:textId="77777777" w:rsidR="00D54F4D" w:rsidRPr="005E6E01" w:rsidRDefault="00D54F4D" w:rsidP="005E6E01">
            <w:pPr>
              <w:ind w:left="229" w:hanging="229"/>
              <w:jc w:val="both"/>
              <w:rPr>
                <w:rFonts w:cs="Arial"/>
                <w:color w:val="000000"/>
                <w:sz w:val="20"/>
                <w:szCs w:val="20"/>
                <w:lang w:val="es-CO" w:eastAsia="es-CO"/>
              </w:rPr>
            </w:pPr>
            <w:r w:rsidRPr="005E6E01">
              <w:rPr>
                <w:rFonts w:cs="Arial"/>
                <w:color w:val="000000"/>
                <w:sz w:val="20"/>
                <w:szCs w:val="20"/>
                <w:lang w:eastAsia="es-CO"/>
              </w:rPr>
              <w:t>·   Número de artículos publicados (ponderados) sobre el número de docentes de tiempo completo</w:t>
            </w:r>
          </w:p>
        </w:tc>
        <w:tc>
          <w:tcPr>
            <w:tcW w:w="339" w:type="pct"/>
            <w:tcBorders>
              <w:top w:val="single" w:sz="4" w:space="0" w:color="auto"/>
              <w:left w:val="single" w:sz="4" w:space="0" w:color="auto"/>
              <w:bottom w:val="single" w:sz="4" w:space="0" w:color="auto"/>
              <w:right w:val="single" w:sz="4" w:space="0" w:color="auto"/>
            </w:tcBorders>
            <w:vAlign w:val="center"/>
          </w:tcPr>
          <w:p w14:paraId="49B0A0A1" w14:textId="77777777" w:rsidR="00D54F4D" w:rsidRPr="005E6E01" w:rsidRDefault="00D54F4D" w:rsidP="005E6E01">
            <w:pPr>
              <w:jc w:val="center"/>
              <w:rPr>
                <w:rFonts w:cs="Arial"/>
                <w:sz w:val="20"/>
                <w:szCs w:val="20"/>
                <w:lang w:eastAsia="en-US"/>
              </w:rPr>
            </w:pPr>
            <w:r w:rsidRPr="005E6E01">
              <w:rPr>
                <w:rFonts w:cs="Arial"/>
                <w:sz w:val="20"/>
                <w:szCs w:val="20"/>
                <w:lang w:eastAsia="en-US"/>
              </w:rPr>
              <w:t>20%</w:t>
            </w:r>
          </w:p>
        </w:tc>
        <w:tc>
          <w:tcPr>
            <w:tcW w:w="2152" w:type="pct"/>
            <w:tcBorders>
              <w:top w:val="single" w:sz="4" w:space="0" w:color="auto"/>
              <w:left w:val="single" w:sz="4" w:space="0" w:color="auto"/>
              <w:bottom w:val="single" w:sz="4" w:space="0" w:color="auto"/>
              <w:right w:val="single" w:sz="4" w:space="0" w:color="auto"/>
            </w:tcBorders>
            <w:noWrap/>
            <w:vAlign w:val="center"/>
            <w:hideMark/>
          </w:tcPr>
          <w:p w14:paraId="180F11A3" w14:textId="77777777" w:rsidR="00D54F4D" w:rsidRPr="005E6E01" w:rsidRDefault="00D54F4D" w:rsidP="005E6E01">
            <w:pPr>
              <w:ind w:left="229" w:hanging="229"/>
              <w:jc w:val="both"/>
              <w:rPr>
                <w:rFonts w:cs="Arial"/>
                <w:color w:val="000000"/>
                <w:sz w:val="20"/>
                <w:szCs w:val="20"/>
                <w:lang w:val="es-CO" w:eastAsia="es-CO"/>
              </w:rPr>
            </w:pPr>
          </w:p>
        </w:tc>
        <w:tc>
          <w:tcPr>
            <w:tcW w:w="472" w:type="pct"/>
            <w:tcBorders>
              <w:top w:val="single" w:sz="4" w:space="0" w:color="auto"/>
              <w:left w:val="single" w:sz="4" w:space="0" w:color="auto"/>
              <w:bottom w:val="single" w:sz="4" w:space="0" w:color="auto"/>
              <w:right w:val="single" w:sz="4" w:space="0" w:color="auto"/>
            </w:tcBorders>
            <w:vAlign w:val="center"/>
          </w:tcPr>
          <w:p w14:paraId="15246931" w14:textId="77777777" w:rsidR="00D54F4D" w:rsidRPr="005E6E01" w:rsidRDefault="00D54F4D" w:rsidP="005E6E01">
            <w:pPr>
              <w:jc w:val="both"/>
              <w:rPr>
                <w:rFonts w:cs="Arial"/>
                <w:sz w:val="20"/>
                <w:szCs w:val="20"/>
                <w:lang w:eastAsia="en-US"/>
              </w:rPr>
            </w:pPr>
          </w:p>
        </w:tc>
      </w:tr>
    </w:tbl>
    <w:p w14:paraId="3FB207B8" w14:textId="77777777" w:rsidR="000A0B99" w:rsidRDefault="000A0B99" w:rsidP="000A0B99">
      <w:pPr>
        <w:pStyle w:val="Default"/>
        <w:jc w:val="both"/>
      </w:pPr>
    </w:p>
    <w:p w14:paraId="22EDC889" w14:textId="77777777" w:rsidR="00705816" w:rsidRPr="008E7027" w:rsidRDefault="00324422" w:rsidP="007F1549">
      <w:pPr>
        <w:pStyle w:val="Default"/>
        <w:jc w:val="both"/>
        <w:rPr>
          <w:snapToGrid w:val="0"/>
          <w:color w:val="auto"/>
        </w:rPr>
      </w:pPr>
      <w:r w:rsidRPr="008E7027">
        <w:rPr>
          <w:b/>
          <w:snapToGrid w:val="0"/>
          <w:color w:val="auto"/>
        </w:rPr>
        <w:t xml:space="preserve">Artículo </w:t>
      </w:r>
      <w:r w:rsidR="00D20006" w:rsidRPr="008E7027">
        <w:rPr>
          <w:b/>
          <w:snapToGrid w:val="0"/>
          <w:color w:val="auto"/>
        </w:rPr>
        <w:t>3.</w:t>
      </w:r>
      <w:r w:rsidR="00F32CB0" w:rsidRPr="008E7027">
        <w:rPr>
          <w:b/>
          <w:snapToGrid w:val="0"/>
          <w:color w:val="auto"/>
        </w:rPr>
        <w:t xml:space="preserve"> </w:t>
      </w:r>
      <w:r w:rsidR="00FE0A79" w:rsidRPr="008E7027">
        <w:rPr>
          <w:b/>
          <w:i/>
          <w:snapToGrid w:val="0"/>
          <w:color w:val="auto"/>
        </w:rPr>
        <w:t xml:space="preserve">Asignación de recursos. </w:t>
      </w:r>
      <w:r w:rsidR="003A5A90" w:rsidRPr="008E7027">
        <w:rPr>
          <w:snapToGrid w:val="0"/>
          <w:color w:val="auto"/>
        </w:rPr>
        <w:t>Aplicadas las</w:t>
      </w:r>
      <w:r w:rsidR="00FE0A79" w:rsidRPr="008E7027">
        <w:rPr>
          <w:snapToGrid w:val="0"/>
          <w:color w:val="auto"/>
        </w:rPr>
        <w:t xml:space="preserve"> reglas de distribución establecidas en el artículo anterior, el Ministerio de Educación Nacional expedirá acto administrativo mediante el cual fije el monto de recursos que le corresponderá a cada institución de educación superior</w:t>
      </w:r>
      <w:r w:rsidR="00F636DF" w:rsidRPr="008E7027">
        <w:rPr>
          <w:snapToGrid w:val="0"/>
          <w:color w:val="auto"/>
        </w:rPr>
        <w:t xml:space="preserve"> </w:t>
      </w:r>
      <w:r w:rsidR="00364562" w:rsidRPr="008E7027">
        <w:rPr>
          <w:snapToGrid w:val="0"/>
          <w:color w:val="auto"/>
        </w:rPr>
        <w:t xml:space="preserve">oficial </w:t>
      </w:r>
      <w:r w:rsidR="00F636DF" w:rsidRPr="008E7027">
        <w:rPr>
          <w:snapToGrid w:val="0"/>
          <w:color w:val="auto"/>
        </w:rPr>
        <w:t>frente a los recursos apropiados en el presupuesto del Ministerio de Educación Nacional</w:t>
      </w:r>
      <w:r w:rsidR="00FE0A79" w:rsidRPr="008E7027">
        <w:rPr>
          <w:snapToGrid w:val="0"/>
          <w:color w:val="auto"/>
        </w:rPr>
        <w:t>,</w:t>
      </w:r>
      <w:r w:rsidR="00F636DF" w:rsidRPr="008E7027">
        <w:rPr>
          <w:snapToGrid w:val="0"/>
          <w:color w:val="auto"/>
        </w:rPr>
        <w:t xml:space="preserve"> y </w:t>
      </w:r>
      <w:r w:rsidR="00FE0A79" w:rsidRPr="008E7027">
        <w:rPr>
          <w:snapToGrid w:val="0"/>
          <w:color w:val="auto"/>
        </w:rPr>
        <w:t>ser</w:t>
      </w:r>
      <w:r w:rsidR="00F636DF" w:rsidRPr="008E7027">
        <w:rPr>
          <w:snapToGrid w:val="0"/>
          <w:color w:val="auto"/>
        </w:rPr>
        <w:t>á</w:t>
      </w:r>
      <w:r w:rsidR="00FE0A79" w:rsidRPr="008E7027">
        <w:rPr>
          <w:snapToGrid w:val="0"/>
          <w:color w:val="auto"/>
        </w:rPr>
        <w:t xml:space="preserve"> comunicado al Ministerio de Hacienda y</w:t>
      </w:r>
      <w:r w:rsidR="003A5A90" w:rsidRPr="008E7027">
        <w:rPr>
          <w:snapToGrid w:val="0"/>
          <w:color w:val="auto"/>
        </w:rPr>
        <w:t xml:space="preserve"> </w:t>
      </w:r>
      <w:r w:rsidR="00FE0A79" w:rsidRPr="008E7027">
        <w:rPr>
          <w:snapToGrid w:val="0"/>
          <w:color w:val="auto"/>
        </w:rPr>
        <w:t xml:space="preserve">Crédito </w:t>
      </w:r>
      <w:r w:rsidR="00FE0A79" w:rsidRPr="008E7027">
        <w:rPr>
          <w:snapToGrid w:val="0"/>
          <w:color w:val="auto"/>
        </w:rPr>
        <w:lastRenderedPageBreak/>
        <w:t xml:space="preserve">Público </w:t>
      </w:r>
      <w:r w:rsidR="00F636DF" w:rsidRPr="008E7027">
        <w:rPr>
          <w:snapToGrid w:val="0"/>
          <w:color w:val="auto"/>
        </w:rPr>
        <w:t>el monto de recursos</w:t>
      </w:r>
      <w:r w:rsidR="00DA1ACF" w:rsidRPr="008E7027">
        <w:rPr>
          <w:snapToGrid w:val="0"/>
          <w:color w:val="auto"/>
        </w:rPr>
        <w:t xml:space="preserve"> </w:t>
      </w:r>
      <w:r w:rsidR="00364562" w:rsidRPr="008E7027">
        <w:rPr>
          <w:snapToGrid w:val="0"/>
          <w:color w:val="auto"/>
        </w:rPr>
        <w:t>asignado a</w:t>
      </w:r>
      <w:r w:rsidR="00FE0A79" w:rsidRPr="008E7027">
        <w:rPr>
          <w:snapToGrid w:val="0"/>
          <w:color w:val="auto"/>
        </w:rPr>
        <w:t xml:space="preserve"> </w:t>
      </w:r>
      <w:r w:rsidR="00DA1ACF" w:rsidRPr="008E7027">
        <w:rPr>
          <w:snapToGrid w:val="0"/>
          <w:color w:val="auto"/>
        </w:rPr>
        <w:t xml:space="preserve">cada institución de educación superior </w:t>
      </w:r>
      <w:r w:rsidR="00364562" w:rsidRPr="008E7027">
        <w:rPr>
          <w:snapToGrid w:val="0"/>
          <w:color w:val="auto"/>
        </w:rPr>
        <w:t xml:space="preserve">oficial </w:t>
      </w:r>
      <w:r w:rsidR="00DA1ACF" w:rsidRPr="008E7027">
        <w:rPr>
          <w:snapToGrid w:val="0"/>
          <w:color w:val="auto"/>
        </w:rPr>
        <w:t xml:space="preserve">para </w:t>
      </w:r>
      <w:r w:rsidR="00FE0A79" w:rsidRPr="008E7027">
        <w:rPr>
          <w:snapToGrid w:val="0"/>
          <w:color w:val="auto"/>
        </w:rPr>
        <w:t>efectos de que dicha entidad proceda a</w:t>
      </w:r>
      <w:r w:rsidR="00DA1ACF" w:rsidRPr="008E7027">
        <w:rPr>
          <w:snapToGrid w:val="0"/>
          <w:color w:val="auto"/>
        </w:rPr>
        <w:t xml:space="preserve"> la elaboración del acto administrativo y</w:t>
      </w:r>
      <w:r w:rsidR="00FE0A79" w:rsidRPr="008E7027">
        <w:rPr>
          <w:snapToGrid w:val="0"/>
          <w:color w:val="auto"/>
        </w:rPr>
        <w:t xml:space="preserve"> gir</w:t>
      </w:r>
      <w:r w:rsidR="00DA1ACF" w:rsidRPr="008E7027">
        <w:rPr>
          <w:snapToGrid w:val="0"/>
          <w:color w:val="auto"/>
        </w:rPr>
        <w:t>o de</w:t>
      </w:r>
      <w:r w:rsidR="00FE0A79" w:rsidRPr="008E7027">
        <w:rPr>
          <w:snapToGrid w:val="0"/>
          <w:color w:val="auto"/>
        </w:rPr>
        <w:t xml:space="preserve"> los recursos CREE que estén apropiados en su presupuesto</w:t>
      </w:r>
      <w:r w:rsidR="003D6E8A">
        <w:rPr>
          <w:snapToGrid w:val="0"/>
          <w:color w:val="auto"/>
        </w:rPr>
        <w:t xml:space="preserve"> para el año</w:t>
      </w:r>
      <w:r w:rsidR="005E042A">
        <w:rPr>
          <w:snapToGrid w:val="0"/>
          <w:color w:val="auto"/>
        </w:rPr>
        <w:t xml:space="preserve"> 2017</w:t>
      </w:r>
      <w:r w:rsidR="00FE0A79" w:rsidRPr="008E7027">
        <w:rPr>
          <w:snapToGrid w:val="0"/>
          <w:color w:val="auto"/>
        </w:rPr>
        <w:t xml:space="preserve">. </w:t>
      </w:r>
    </w:p>
    <w:p w14:paraId="1732E738" w14:textId="77777777" w:rsidR="00306C0F" w:rsidRDefault="00FE0A79" w:rsidP="007F1549">
      <w:pPr>
        <w:pStyle w:val="Default"/>
        <w:jc w:val="both"/>
        <w:rPr>
          <w:snapToGrid w:val="0"/>
        </w:rPr>
      </w:pPr>
      <w:r>
        <w:rPr>
          <w:snapToGrid w:val="0"/>
        </w:rPr>
        <w:t xml:space="preserve"> </w:t>
      </w:r>
    </w:p>
    <w:p w14:paraId="16DD12B5" w14:textId="77777777" w:rsidR="00AB6DAF" w:rsidRDefault="003A5A90" w:rsidP="007F1549">
      <w:pPr>
        <w:pStyle w:val="Default"/>
        <w:jc w:val="both"/>
        <w:rPr>
          <w:snapToGrid w:val="0"/>
        </w:rPr>
      </w:pPr>
      <w:r>
        <w:rPr>
          <w:snapToGrid w:val="0"/>
        </w:rPr>
        <w:t xml:space="preserve">En firme </w:t>
      </w:r>
      <w:r w:rsidR="00364562">
        <w:rPr>
          <w:snapToGrid w:val="0"/>
        </w:rPr>
        <w:t xml:space="preserve">el acto administrativo mediante el cual </w:t>
      </w:r>
      <w:r w:rsidR="00576B87">
        <w:rPr>
          <w:snapToGrid w:val="0"/>
        </w:rPr>
        <w:t xml:space="preserve">se </w:t>
      </w:r>
      <w:r w:rsidR="00364562">
        <w:rPr>
          <w:snapToGrid w:val="0"/>
        </w:rPr>
        <w:t>fije el mon</w:t>
      </w:r>
      <w:r w:rsidR="00A6553F">
        <w:rPr>
          <w:snapToGrid w:val="0"/>
        </w:rPr>
        <w:t>t</w:t>
      </w:r>
      <w:r w:rsidR="00364562">
        <w:rPr>
          <w:snapToGrid w:val="0"/>
        </w:rPr>
        <w:t xml:space="preserve">o de recursos antes citado, </w:t>
      </w:r>
      <w:r w:rsidR="00FE0A79">
        <w:rPr>
          <w:snapToGrid w:val="0"/>
        </w:rPr>
        <w:t xml:space="preserve">las instituciones de educación superior oficiales deberán </w:t>
      </w:r>
      <w:r w:rsidR="00AB6DAF" w:rsidRPr="00354ADA">
        <w:rPr>
          <w:snapToGrid w:val="0"/>
        </w:rPr>
        <w:t xml:space="preserve">ajustar </w:t>
      </w:r>
      <w:r w:rsidR="00AB6DAF">
        <w:rPr>
          <w:snapToGrid w:val="0"/>
        </w:rPr>
        <w:t>el</w:t>
      </w:r>
      <w:r w:rsidR="00364562">
        <w:rPr>
          <w:snapToGrid w:val="0"/>
        </w:rPr>
        <w:t xml:space="preserve"> </w:t>
      </w:r>
      <w:r w:rsidR="00AB6DAF">
        <w:rPr>
          <w:snapToGrid w:val="0"/>
        </w:rPr>
        <w:t xml:space="preserve">valor </w:t>
      </w:r>
      <w:r w:rsidR="00AB6DAF" w:rsidRPr="00354ADA">
        <w:rPr>
          <w:snapToGrid w:val="0"/>
        </w:rPr>
        <w:t>de los proyectos incluidos en el Plan de Fomento a la Calidad</w:t>
      </w:r>
      <w:r w:rsidR="00AB6DAF">
        <w:rPr>
          <w:snapToGrid w:val="0"/>
        </w:rPr>
        <w:t xml:space="preserve">, </w:t>
      </w:r>
      <w:r w:rsidR="00705816">
        <w:rPr>
          <w:snapToGrid w:val="0"/>
        </w:rPr>
        <w:t xml:space="preserve">sin modificar las líneas de inversión propuestas, </w:t>
      </w:r>
      <w:r w:rsidR="00AB6DAF">
        <w:rPr>
          <w:snapToGrid w:val="0"/>
        </w:rPr>
        <w:t>de acuerdo con</w:t>
      </w:r>
      <w:r w:rsidR="00705816">
        <w:rPr>
          <w:snapToGrid w:val="0"/>
        </w:rPr>
        <w:t xml:space="preserve"> los</w:t>
      </w:r>
      <w:r w:rsidR="00AB6DAF">
        <w:rPr>
          <w:snapToGrid w:val="0"/>
        </w:rPr>
        <w:t xml:space="preserve"> recursos CREE que hayan sido asignados. Hecho lo anterior, </w:t>
      </w:r>
      <w:r w:rsidR="00103240">
        <w:rPr>
          <w:snapToGrid w:val="0"/>
        </w:rPr>
        <w:t xml:space="preserve">dentro de los 15 días calendario siguientes a la publicación del acto administrativo de asignación de recursos, dichas instituciones </w:t>
      </w:r>
      <w:r w:rsidR="00AB6DAF">
        <w:rPr>
          <w:snapToGrid w:val="0"/>
        </w:rPr>
        <w:t xml:space="preserve">deberán entregar </w:t>
      </w:r>
      <w:r w:rsidR="00103240" w:rsidRPr="00354ADA">
        <w:rPr>
          <w:snapToGrid w:val="0"/>
        </w:rPr>
        <w:t>al Ministerio de Educación</w:t>
      </w:r>
      <w:r w:rsidR="00103240">
        <w:rPr>
          <w:snapToGrid w:val="0"/>
        </w:rPr>
        <w:t xml:space="preserve"> Nacional </w:t>
      </w:r>
      <w:r w:rsidR="00AB6DAF" w:rsidRPr="00354ADA">
        <w:rPr>
          <w:snapToGrid w:val="0"/>
        </w:rPr>
        <w:t>el Plan de Fomento a la Calidad</w:t>
      </w:r>
      <w:r w:rsidR="00AB6DAF">
        <w:rPr>
          <w:snapToGrid w:val="0"/>
        </w:rPr>
        <w:t xml:space="preserve"> ajustado y </w:t>
      </w:r>
      <w:r w:rsidR="00AB6DAF" w:rsidRPr="00354ADA">
        <w:rPr>
          <w:snapToGrid w:val="0"/>
        </w:rPr>
        <w:t>aprobado</w:t>
      </w:r>
      <w:r>
        <w:rPr>
          <w:snapToGrid w:val="0"/>
        </w:rPr>
        <w:t xml:space="preserve"> </w:t>
      </w:r>
      <w:r w:rsidR="00AB6DAF">
        <w:rPr>
          <w:snapToGrid w:val="0"/>
        </w:rPr>
        <w:t xml:space="preserve">por el máximo órgano de dirección y gobierno. </w:t>
      </w:r>
    </w:p>
    <w:p w14:paraId="3A23688B" w14:textId="77777777" w:rsidR="00AB6DAF" w:rsidRDefault="00AB6DAF" w:rsidP="007F1549">
      <w:pPr>
        <w:pStyle w:val="Default"/>
        <w:jc w:val="both"/>
        <w:rPr>
          <w:snapToGrid w:val="0"/>
        </w:rPr>
      </w:pPr>
    </w:p>
    <w:p w14:paraId="7C7B412B" w14:textId="54CB4CD5" w:rsidR="00F13F3E" w:rsidRDefault="001A4A34"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r w:rsidRPr="00354ADA">
        <w:rPr>
          <w:rFonts w:cs="Arial"/>
          <w:b/>
          <w:snapToGrid w:val="0"/>
        </w:rPr>
        <w:t xml:space="preserve">Artículo </w:t>
      </w:r>
      <w:r w:rsidR="00675BB6">
        <w:rPr>
          <w:rFonts w:cs="Arial"/>
          <w:b/>
          <w:snapToGrid w:val="0"/>
        </w:rPr>
        <w:t>4</w:t>
      </w:r>
      <w:r w:rsidR="000A0B99">
        <w:rPr>
          <w:rFonts w:cs="Arial"/>
          <w:b/>
          <w:snapToGrid w:val="0"/>
        </w:rPr>
        <w:t>.</w:t>
      </w:r>
      <w:r w:rsidR="00A7145F" w:rsidRPr="00354ADA">
        <w:rPr>
          <w:rFonts w:cs="Arial"/>
          <w:b/>
          <w:snapToGrid w:val="0"/>
        </w:rPr>
        <w:t xml:space="preserve"> </w:t>
      </w:r>
      <w:r w:rsidR="00A7145F" w:rsidRPr="00AB6DAF">
        <w:rPr>
          <w:rFonts w:cs="Arial"/>
          <w:b/>
          <w:i/>
          <w:snapToGrid w:val="0"/>
        </w:rPr>
        <w:t>Cumplimiento a los Planes de Fomento a la Calidad</w:t>
      </w:r>
      <w:r w:rsidR="00F67F58">
        <w:rPr>
          <w:rFonts w:cs="Arial"/>
          <w:b/>
          <w:i/>
          <w:snapToGrid w:val="0"/>
        </w:rPr>
        <w:t>.</w:t>
      </w:r>
      <w:r w:rsidR="000A5A84" w:rsidRPr="00354ADA">
        <w:rPr>
          <w:rFonts w:cs="Arial"/>
          <w:snapToGrid w:val="0"/>
        </w:rPr>
        <w:t xml:space="preserve"> </w:t>
      </w:r>
      <w:r w:rsidR="00F13F3E">
        <w:rPr>
          <w:rFonts w:cs="Arial"/>
          <w:snapToGrid w:val="0"/>
        </w:rPr>
        <w:t xml:space="preserve">El Ministerio de Educación Nacional en ejercicio de las funciones de inspección y vigilancia, contenidas en la Ley 1740 de 2014, podrá requerir a las Instituciones de Educación Superior a efectos de verificar los procedimientos financieros y contables sobre la debida aplicación, conservación e inversión de los recursos financieros provenientes del CREE, al igual que la </w:t>
      </w:r>
      <w:r w:rsidR="00F13F3E" w:rsidRPr="00F13F3E">
        <w:rPr>
          <w:rFonts w:cs="Arial"/>
          <w:snapToGrid w:val="0"/>
        </w:rPr>
        <w:t>preparación y reporte</w:t>
      </w:r>
      <w:r w:rsidR="00F13F3E">
        <w:rPr>
          <w:rFonts w:cs="Arial"/>
          <w:snapToGrid w:val="0"/>
        </w:rPr>
        <w:t xml:space="preserve"> de informes sobre la destinación de los mismos.</w:t>
      </w:r>
    </w:p>
    <w:p w14:paraId="0BD18857" w14:textId="77777777" w:rsidR="00F13F3E" w:rsidRDefault="00F13F3E"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p>
    <w:p w14:paraId="5F5B07A2" w14:textId="1F7FFB1F" w:rsidR="00705816" w:rsidRDefault="00705816"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r w:rsidRPr="00354ADA">
        <w:rPr>
          <w:rFonts w:cs="Arial"/>
          <w:b/>
          <w:snapToGrid w:val="0"/>
        </w:rPr>
        <w:t xml:space="preserve">Artículo </w:t>
      </w:r>
      <w:r>
        <w:rPr>
          <w:rFonts w:cs="Arial"/>
          <w:b/>
          <w:snapToGrid w:val="0"/>
        </w:rPr>
        <w:t>5.</w:t>
      </w:r>
      <w:r w:rsidRPr="00354ADA">
        <w:rPr>
          <w:rFonts w:cs="Arial"/>
          <w:b/>
          <w:snapToGrid w:val="0"/>
        </w:rPr>
        <w:t xml:space="preserve"> </w:t>
      </w:r>
      <w:r>
        <w:rPr>
          <w:rFonts w:cs="Arial"/>
          <w:b/>
          <w:i/>
          <w:snapToGrid w:val="0"/>
        </w:rPr>
        <w:t>Vigencia.</w:t>
      </w:r>
      <w:r w:rsidRPr="00354ADA">
        <w:rPr>
          <w:rFonts w:cs="Arial"/>
          <w:snapToGrid w:val="0"/>
        </w:rPr>
        <w:t xml:space="preserve"> </w:t>
      </w:r>
      <w:r>
        <w:rPr>
          <w:rFonts w:cs="Arial"/>
          <w:snapToGrid w:val="0"/>
        </w:rPr>
        <w:t>La presente resolución rige a partir de su publicación.</w:t>
      </w:r>
    </w:p>
    <w:p w14:paraId="4240BA01" w14:textId="77777777" w:rsidR="00705816" w:rsidRPr="00354ADA" w:rsidRDefault="00705816"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p>
    <w:p w14:paraId="482C7E45" w14:textId="5FC542C0" w:rsidR="00C15D47" w:rsidRDefault="00C15D47"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2D9E9BD7" w14:textId="77777777" w:rsidR="000A23D5" w:rsidRPr="00354ADA" w:rsidRDefault="000A23D5"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6DF508F6" w14:textId="77777777" w:rsidR="006E5AD4" w:rsidRPr="00C74225" w:rsidRDefault="006E5AD4" w:rsidP="00C74225">
      <w:pPr>
        <w:widowControl w:val="0"/>
        <w:tabs>
          <w:tab w:val="left" w:pos="90"/>
          <w:tab w:val="left" w:pos="180"/>
          <w:tab w:val="left" w:pos="270"/>
          <w:tab w:val="left" w:pos="360"/>
          <w:tab w:val="left" w:pos="450"/>
          <w:tab w:val="left" w:pos="540"/>
          <w:tab w:val="left" w:pos="2715"/>
          <w:tab w:val="center" w:pos="6682"/>
        </w:tabs>
        <w:jc w:val="center"/>
        <w:rPr>
          <w:rFonts w:cs="Arial"/>
          <w:b/>
          <w:snapToGrid w:val="0"/>
          <w:color w:val="000000"/>
        </w:rPr>
      </w:pPr>
      <w:r w:rsidRPr="00C74225">
        <w:rPr>
          <w:rFonts w:cs="Arial"/>
          <w:b/>
          <w:snapToGrid w:val="0"/>
          <w:color w:val="000000"/>
        </w:rPr>
        <w:t>PUBLÍQUESE Y CÚMPLASE,</w:t>
      </w:r>
    </w:p>
    <w:p w14:paraId="315D43CB" w14:textId="0B2FB370" w:rsidR="00FC3C37" w:rsidRDefault="00FC3C37"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400384F6" w14:textId="546C9C43" w:rsidR="000A23D5" w:rsidRDefault="000A23D5"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65B39BCA" w14:textId="77777777" w:rsidR="000A23D5" w:rsidRPr="00354ADA" w:rsidRDefault="000A23D5"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61FEA054" w14:textId="77777777" w:rsidR="006E5AD4" w:rsidRPr="00354ADA" w:rsidRDefault="006E5AD4"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r w:rsidRPr="00354ADA">
        <w:rPr>
          <w:rFonts w:cs="Arial"/>
          <w:snapToGrid w:val="0"/>
          <w:color w:val="000000"/>
        </w:rPr>
        <w:t>Dada en Bogotá D.C.</w:t>
      </w:r>
      <w:r w:rsidRPr="00354ADA">
        <w:rPr>
          <w:rFonts w:cs="Arial"/>
          <w:snapToGrid w:val="0"/>
        </w:rPr>
        <w:t xml:space="preserve"> </w:t>
      </w:r>
    </w:p>
    <w:p w14:paraId="0059B1B4" w14:textId="77777777" w:rsidR="006E5AD4" w:rsidRPr="00354ADA" w:rsidRDefault="006E5AD4"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0C02EB2F" w14:textId="77777777" w:rsidR="009945E9" w:rsidRPr="00354ADA" w:rsidRDefault="009945E9"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670524AB" w14:textId="77777777" w:rsidR="009945E9" w:rsidRPr="00354ADA" w:rsidRDefault="009945E9"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14:paraId="4B5C9DFC" w14:textId="77777777" w:rsidR="00573D5A" w:rsidRPr="00354ADA" w:rsidRDefault="00573D5A" w:rsidP="00354ADA">
      <w:pPr>
        <w:rPr>
          <w:rFonts w:cs="Arial"/>
          <w:b/>
        </w:rPr>
      </w:pPr>
    </w:p>
    <w:p w14:paraId="3B25B05A" w14:textId="1C958B61" w:rsidR="00573D5A" w:rsidRDefault="00573D5A" w:rsidP="00354ADA">
      <w:pPr>
        <w:rPr>
          <w:rFonts w:cs="Arial"/>
          <w:b/>
        </w:rPr>
      </w:pPr>
    </w:p>
    <w:p w14:paraId="3010BABE" w14:textId="77777777" w:rsidR="000A23D5" w:rsidRPr="00354ADA" w:rsidRDefault="000A23D5" w:rsidP="00354ADA">
      <w:pPr>
        <w:rPr>
          <w:rFonts w:cs="Arial"/>
          <w:b/>
        </w:rPr>
      </w:pPr>
    </w:p>
    <w:p w14:paraId="2FEB4470" w14:textId="77777777" w:rsidR="00573D5A" w:rsidRPr="00354ADA" w:rsidRDefault="00573D5A" w:rsidP="00354ADA">
      <w:pPr>
        <w:rPr>
          <w:rFonts w:cs="Arial"/>
          <w:b/>
        </w:rPr>
      </w:pPr>
      <w:r w:rsidRPr="00354ADA">
        <w:rPr>
          <w:rFonts w:cs="Arial"/>
          <w:b/>
        </w:rPr>
        <w:t>LA MINISTRA DE EDUCACIÓN NACIONAL</w:t>
      </w:r>
    </w:p>
    <w:p w14:paraId="6FAD4B0F" w14:textId="77777777" w:rsidR="00573D5A" w:rsidRPr="00354ADA" w:rsidRDefault="00573D5A" w:rsidP="00354ADA">
      <w:pPr>
        <w:rPr>
          <w:rFonts w:cs="Arial"/>
          <w:b/>
        </w:rPr>
      </w:pPr>
    </w:p>
    <w:p w14:paraId="66257E80" w14:textId="77777777" w:rsidR="00573D5A" w:rsidRPr="00354ADA" w:rsidRDefault="00573D5A" w:rsidP="00354ADA">
      <w:pPr>
        <w:rPr>
          <w:rFonts w:cs="Arial"/>
        </w:rPr>
      </w:pPr>
    </w:p>
    <w:p w14:paraId="4772DEAC" w14:textId="3A9C31B1" w:rsidR="00573D5A" w:rsidRDefault="00573D5A" w:rsidP="00354ADA">
      <w:pPr>
        <w:rPr>
          <w:rFonts w:cs="Arial"/>
        </w:rPr>
      </w:pPr>
    </w:p>
    <w:p w14:paraId="152B2C8B" w14:textId="77777777" w:rsidR="000A23D5" w:rsidRPr="00354ADA" w:rsidRDefault="000A23D5" w:rsidP="00354ADA">
      <w:pPr>
        <w:rPr>
          <w:rFonts w:cs="Arial"/>
        </w:rPr>
      </w:pPr>
      <w:bookmarkStart w:id="0" w:name="_GoBack"/>
      <w:bookmarkEnd w:id="0"/>
    </w:p>
    <w:p w14:paraId="1CD55516" w14:textId="77777777" w:rsidR="00573D5A" w:rsidRPr="00354ADA" w:rsidRDefault="00573D5A" w:rsidP="00354ADA">
      <w:pPr>
        <w:rPr>
          <w:rFonts w:cs="Arial"/>
        </w:rPr>
      </w:pPr>
    </w:p>
    <w:p w14:paraId="3F2DF659" w14:textId="77777777" w:rsidR="00573D5A" w:rsidRPr="00354ADA" w:rsidRDefault="00BE6A86" w:rsidP="00354ADA">
      <w:pPr>
        <w:jc w:val="right"/>
        <w:rPr>
          <w:rFonts w:cs="Arial"/>
          <w:b/>
        </w:rPr>
      </w:pPr>
      <w:r>
        <w:rPr>
          <w:rFonts w:cs="Arial"/>
          <w:b/>
        </w:rPr>
        <w:t>YANETH GIHA TOVAR</w:t>
      </w:r>
    </w:p>
    <w:p w14:paraId="61508780" w14:textId="77777777" w:rsidR="00573D5A" w:rsidRPr="00354ADA" w:rsidRDefault="00573D5A" w:rsidP="00354ADA">
      <w:pPr>
        <w:jc w:val="right"/>
        <w:rPr>
          <w:rFonts w:cs="Arial"/>
        </w:rPr>
      </w:pPr>
    </w:p>
    <w:p w14:paraId="696B2B2A" w14:textId="77777777" w:rsidR="00BD3F7E" w:rsidRDefault="00BD3F7E" w:rsidP="00354ADA">
      <w:pPr>
        <w:jc w:val="right"/>
        <w:rPr>
          <w:rFonts w:cs="Arial"/>
        </w:rPr>
      </w:pPr>
    </w:p>
    <w:p w14:paraId="29E134C8" w14:textId="77777777" w:rsidR="00886D12" w:rsidRDefault="00103240" w:rsidP="00103240">
      <w:pPr>
        <w:autoSpaceDE w:val="0"/>
        <w:autoSpaceDN w:val="0"/>
        <w:adjustRightInd w:val="0"/>
        <w:rPr>
          <w:rFonts w:eastAsia="Calibri" w:cs="Arial"/>
          <w:sz w:val="14"/>
          <w:szCs w:val="14"/>
          <w:lang w:val="es-CO" w:eastAsia="es-CO"/>
        </w:rPr>
      </w:pPr>
      <w:r w:rsidRPr="00E24826">
        <w:rPr>
          <w:rFonts w:eastAsia="Calibri" w:cs="Arial"/>
          <w:sz w:val="14"/>
          <w:szCs w:val="14"/>
          <w:lang w:val="es-CO" w:eastAsia="es-CO"/>
        </w:rPr>
        <w:t>Aprobó:</w:t>
      </w:r>
      <w:r w:rsidRPr="00E24826">
        <w:rPr>
          <w:rFonts w:eastAsia="Calibri" w:cs="Arial"/>
          <w:sz w:val="14"/>
          <w:szCs w:val="14"/>
          <w:lang w:val="es-CO" w:eastAsia="es-CO"/>
        </w:rPr>
        <w:tab/>
      </w:r>
      <w:r w:rsidR="00886D12">
        <w:rPr>
          <w:rFonts w:eastAsia="Calibri" w:cs="Arial"/>
          <w:sz w:val="14"/>
          <w:szCs w:val="14"/>
          <w:lang w:val="es-CO" w:eastAsia="es-CO"/>
        </w:rPr>
        <w:t>Natalia Ruíz Rodgers – Viceministra de Educación Superior</w:t>
      </w:r>
    </w:p>
    <w:p w14:paraId="3FB2A111" w14:textId="77777777" w:rsidR="00886D12" w:rsidRDefault="00103240" w:rsidP="00886D12">
      <w:pPr>
        <w:autoSpaceDE w:val="0"/>
        <w:autoSpaceDN w:val="0"/>
        <w:adjustRightInd w:val="0"/>
        <w:ind w:firstLine="709"/>
        <w:rPr>
          <w:rFonts w:eastAsia="Calibri" w:cs="Arial"/>
          <w:sz w:val="14"/>
          <w:szCs w:val="14"/>
          <w:lang w:val="es-CO" w:eastAsia="es-CO"/>
        </w:rPr>
      </w:pPr>
      <w:r>
        <w:rPr>
          <w:rFonts w:eastAsia="Calibri" w:cs="Arial"/>
          <w:sz w:val="14"/>
          <w:szCs w:val="14"/>
          <w:lang w:val="es-CO" w:eastAsia="es-CO"/>
        </w:rPr>
        <w:t>Martha Lucia Trujillo Calderón</w:t>
      </w:r>
      <w:r w:rsidRPr="00E24826">
        <w:rPr>
          <w:rFonts w:eastAsia="Calibri" w:cs="Arial"/>
          <w:sz w:val="14"/>
          <w:szCs w:val="14"/>
          <w:lang w:val="es-CO" w:eastAsia="es-CO"/>
        </w:rPr>
        <w:t xml:space="preserve"> </w:t>
      </w:r>
      <w:r>
        <w:rPr>
          <w:rFonts w:eastAsia="Calibri" w:cs="Arial"/>
          <w:sz w:val="14"/>
          <w:szCs w:val="14"/>
          <w:lang w:val="es-CO" w:eastAsia="es-CO"/>
        </w:rPr>
        <w:t>-</w:t>
      </w:r>
      <w:r w:rsidRPr="00E24826">
        <w:rPr>
          <w:rFonts w:eastAsia="Calibri" w:cs="Arial"/>
          <w:sz w:val="14"/>
          <w:szCs w:val="14"/>
          <w:lang w:val="es-CO" w:eastAsia="es-CO"/>
        </w:rPr>
        <w:t xml:space="preserve"> Jefe de la Oficina Asesora Jurídica</w:t>
      </w:r>
    </w:p>
    <w:p w14:paraId="42D9DCCC" w14:textId="77777777" w:rsidR="00886D12" w:rsidRDefault="00103240" w:rsidP="00103240">
      <w:pPr>
        <w:autoSpaceDE w:val="0"/>
        <w:autoSpaceDN w:val="0"/>
        <w:adjustRightInd w:val="0"/>
        <w:rPr>
          <w:rFonts w:eastAsia="Calibri" w:cs="Arial"/>
          <w:sz w:val="14"/>
          <w:szCs w:val="14"/>
          <w:lang w:val="es-CO" w:eastAsia="es-CO"/>
        </w:rPr>
      </w:pPr>
      <w:r w:rsidRPr="00E24826">
        <w:rPr>
          <w:rFonts w:eastAsia="Calibri" w:cs="Arial"/>
          <w:sz w:val="14"/>
          <w:szCs w:val="14"/>
          <w:lang w:val="es-CO" w:eastAsia="es-CO"/>
        </w:rPr>
        <w:t>Revisó:</w:t>
      </w:r>
      <w:r w:rsidRPr="00E24826">
        <w:rPr>
          <w:rFonts w:eastAsia="Calibri" w:cs="Arial"/>
          <w:sz w:val="14"/>
          <w:szCs w:val="14"/>
          <w:lang w:val="es-CO" w:eastAsia="es-CO"/>
        </w:rPr>
        <w:tab/>
      </w:r>
      <w:r w:rsidR="00886D12">
        <w:rPr>
          <w:rFonts w:eastAsia="Calibri" w:cs="Arial"/>
          <w:sz w:val="14"/>
          <w:szCs w:val="14"/>
          <w:lang w:val="es-CO" w:eastAsia="es-CO"/>
        </w:rPr>
        <w:t>Alejandro Venegas Mendoza – Director de Fomento</w:t>
      </w:r>
    </w:p>
    <w:p w14:paraId="3AF84CDC" w14:textId="77777777" w:rsidR="00886D12" w:rsidRDefault="00886D12" w:rsidP="00103240">
      <w:pPr>
        <w:autoSpaceDE w:val="0"/>
        <w:autoSpaceDN w:val="0"/>
        <w:adjustRightInd w:val="0"/>
        <w:rPr>
          <w:rFonts w:eastAsia="Calibri" w:cs="Arial"/>
          <w:sz w:val="14"/>
          <w:szCs w:val="14"/>
          <w:lang w:val="es-CO" w:eastAsia="es-CO"/>
        </w:rPr>
      </w:pPr>
      <w:r>
        <w:rPr>
          <w:rFonts w:eastAsia="Calibri" w:cs="Arial"/>
          <w:sz w:val="14"/>
          <w:szCs w:val="14"/>
          <w:lang w:val="es-CO" w:eastAsia="es-CO"/>
        </w:rPr>
        <w:tab/>
        <w:t>Jaime Vargas Vives – Subdirector de Apoyo a la Gestión de las I.E.S.</w:t>
      </w:r>
    </w:p>
    <w:p w14:paraId="62A96A16" w14:textId="77777777" w:rsidR="00886D12" w:rsidRDefault="00886D12" w:rsidP="00103240">
      <w:pPr>
        <w:autoSpaceDE w:val="0"/>
        <w:autoSpaceDN w:val="0"/>
        <w:adjustRightInd w:val="0"/>
        <w:rPr>
          <w:rFonts w:eastAsia="Calibri" w:cs="Arial"/>
          <w:sz w:val="14"/>
          <w:szCs w:val="14"/>
          <w:lang w:val="es-CO" w:eastAsia="es-CO"/>
        </w:rPr>
      </w:pPr>
      <w:r>
        <w:rPr>
          <w:rFonts w:eastAsia="Calibri" w:cs="Arial"/>
          <w:sz w:val="14"/>
          <w:szCs w:val="14"/>
          <w:lang w:val="es-CO" w:eastAsia="es-CO"/>
        </w:rPr>
        <w:tab/>
        <w:t>Alejandra Sánchez Perilla – Subdirectora de Desarrollo Sectorial</w:t>
      </w:r>
    </w:p>
    <w:p w14:paraId="1857C9DA" w14:textId="77777777" w:rsidR="00103240" w:rsidRDefault="00886D12" w:rsidP="00886D12">
      <w:pPr>
        <w:autoSpaceDE w:val="0"/>
        <w:autoSpaceDN w:val="0"/>
        <w:adjustRightInd w:val="0"/>
        <w:ind w:firstLine="709"/>
        <w:rPr>
          <w:rFonts w:eastAsia="Calibri" w:cs="Arial"/>
          <w:sz w:val="14"/>
          <w:szCs w:val="14"/>
          <w:lang w:val="es-CO" w:eastAsia="es-CO"/>
        </w:rPr>
      </w:pPr>
      <w:r>
        <w:rPr>
          <w:rFonts w:eastAsia="Calibri" w:cs="Arial"/>
          <w:sz w:val="14"/>
          <w:szCs w:val="14"/>
          <w:lang w:val="es-CO" w:eastAsia="es-CO"/>
        </w:rPr>
        <w:t>Jairo Enrique Valencia -</w:t>
      </w:r>
      <w:r w:rsidR="00103240">
        <w:rPr>
          <w:rFonts w:eastAsia="Calibri" w:cs="Arial"/>
          <w:sz w:val="14"/>
          <w:szCs w:val="14"/>
          <w:lang w:val="es-CO" w:eastAsia="es-CO"/>
        </w:rPr>
        <w:t xml:space="preserve"> Asesor Oficina Asesora Jurídica</w:t>
      </w:r>
    </w:p>
    <w:p w14:paraId="1B5A5E7A" w14:textId="4C54B638" w:rsidR="00103240" w:rsidRPr="00886D12" w:rsidRDefault="00103240" w:rsidP="00AF219F">
      <w:pPr>
        <w:autoSpaceDE w:val="0"/>
        <w:autoSpaceDN w:val="0"/>
        <w:adjustRightInd w:val="0"/>
        <w:rPr>
          <w:rFonts w:cs="Arial"/>
          <w:lang w:val="es-CO"/>
        </w:rPr>
      </w:pPr>
      <w:r>
        <w:rPr>
          <w:rFonts w:eastAsia="Calibri" w:cs="Arial"/>
          <w:sz w:val="14"/>
          <w:szCs w:val="14"/>
          <w:lang w:val="es-CO" w:eastAsia="es-CO"/>
        </w:rPr>
        <w:t xml:space="preserve">            </w:t>
      </w:r>
      <w:r w:rsidR="00886D12">
        <w:rPr>
          <w:rFonts w:eastAsia="Calibri" w:cs="Arial"/>
          <w:sz w:val="14"/>
          <w:szCs w:val="14"/>
          <w:lang w:val="es-CO" w:eastAsia="es-CO"/>
        </w:rPr>
        <w:t xml:space="preserve">      Eliana González Barrera -</w:t>
      </w:r>
      <w:r>
        <w:rPr>
          <w:rFonts w:eastAsia="Calibri" w:cs="Arial"/>
          <w:sz w:val="14"/>
          <w:szCs w:val="14"/>
          <w:lang w:val="es-CO" w:eastAsia="es-CO"/>
        </w:rPr>
        <w:t xml:space="preserve"> Profesional Oficina Asesora Jurídica</w:t>
      </w:r>
    </w:p>
    <w:sectPr w:rsidR="00103240" w:rsidRPr="00886D12" w:rsidSect="003B0986">
      <w:headerReference w:type="even" r:id="rId8"/>
      <w:headerReference w:type="default" r:id="rId9"/>
      <w:footerReference w:type="even" r:id="rId10"/>
      <w:headerReference w:type="first" r:id="rId11"/>
      <w:pgSz w:w="12242" w:h="18722" w:code="14"/>
      <w:pgMar w:top="1701" w:right="1134" w:bottom="1701" w:left="1701" w:header="720" w:footer="143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A140" w14:textId="77777777" w:rsidR="007A443E" w:rsidRDefault="007A443E" w:rsidP="00B15DEB">
      <w:r>
        <w:separator/>
      </w:r>
    </w:p>
  </w:endnote>
  <w:endnote w:type="continuationSeparator" w:id="0">
    <w:p w14:paraId="7D00B0E7" w14:textId="77777777" w:rsidR="007A443E" w:rsidRDefault="007A443E" w:rsidP="00B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8515" w14:textId="77777777" w:rsidR="00C407E6" w:rsidRDefault="00C407E6">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2C794" w14:textId="77777777" w:rsidR="007A443E" w:rsidRDefault="007A443E" w:rsidP="00B15DEB">
      <w:r>
        <w:separator/>
      </w:r>
    </w:p>
  </w:footnote>
  <w:footnote w:type="continuationSeparator" w:id="0">
    <w:p w14:paraId="287C8B61" w14:textId="77777777" w:rsidR="007A443E" w:rsidRDefault="007A443E" w:rsidP="00B1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D38C" w14:textId="77777777" w:rsidR="00C407E6" w:rsidRDefault="00C407E6">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4D1E7D0C" w14:textId="77777777" w:rsidR="00C407E6" w:rsidRDefault="000D0E0A">
    <w:pPr>
      <w:pStyle w:val="Encabezado"/>
    </w:pPr>
    <w:r>
      <w:rPr>
        <w:noProof/>
        <w:lang w:val="es-CO" w:eastAsia="es-CO"/>
      </w:rPr>
      <mc:AlternateContent>
        <mc:Choice Requires="wps">
          <w:drawing>
            <wp:anchor distT="0" distB="0" distL="114300" distR="114300" simplePos="0" relativeHeight="251657728" behindDoc="0" locked="0" layoutInCell="0" allowOverlap="1" wp14:anchorId="69F861E5" wp14:editId="78D08FD0">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9F87"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14:paraId="25B01160" w14:textId="77777777" w:rsidR="00C407E6" w:rsidRDefault="00C407E6">
    <w:pPr>
      <w:jc w:val="center"/>
      <w:rPr>
        <w:b/>
      </w:rPr>
    </w:pPr>
  </w:p>
  <w:p w14:paraId="6E974572" w14:textId="77777777" w:rsidR="00C407E6" w:rsidRDefault="000D0E0A">
    <w:pPr>
      <w:jc w:val="center"/>
      <w:rPr>
        <w:sz w:val="22"/>
      </w:rPr>
    </w:pPr>
    <w:r>
      <w:rPr>
        <w:noProof/>
        <w:lang w:val="es-CO" w:eastAsia="es-CO"/>
      </w:rPr>
      <mc:AlternateContent>
        <mc:Choice Requires="wps">
          <w:drawing>
            <wp:anchor distT="4294967295" distB="4294967295" distL="114300" distR="114300" simplePos="0" relativeHeight="251659776" behindDoc="0" locked="0" layoutInCell="0" allowOverlap="1" wp14:anchorId="742A27E7" wp14:editId="1049C72D">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715D" id="Conector recto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C407E6">
      <w:t xml:space="preserve">Continuación del decreto </w:t>
    </w:r>
    <w:r w:rsidR="00C407E6">
      <w:rPr>
        <w:sz w:val="22"/>
      </w:rPr>
      <w:t xml:space="preserve">“Por el cual se </w:t>
    </w:r>
    <w:r w:rsidR="00C407E6">
      <w:rPr>
        <w:color w:val="000000"/>
      </w:rPr>
      <w:t xml:space="preserve">reasignan unas funciones y competencias </w:t>
    </w:r>
    <w:r w:rsidR="00C407E6">
      <w:rPr>
        <w:sz w:val="22"/>
      </w:rPr>
      <w:t>-”</w:t>
    </w:r>
  </w:p>
  <w:p w14:paraId="3C5021BF" w14:textId="77777777" w:rsidR="00C407E6" w:rsidRDefault="00C407E6">
    <w:pPr>
      <w:jc w:val="center"/>
      <w:rPr>
        <w:sz w:val="22"/>
      </w:rPr>
    </w:pPr>
  </w:p>
  <w:p w14:paraId="692B75A0" w14:textId="77777777" w:rsidR="00C407E6" w:rsidRDefault="00C407E6">
    <w:pPr>
      <w:jc w:val="center"/>
      <w:rPr>
        <w:snapToGrid w:val="0"/>
        <w:color w:val="000000"/>
        <w:sz w:val="18"/>
      </w:rPr>
    </w:pPr>
  </w:p>
  <w:p w14:paraId="434C61C7" w14:textId="77777777" w:rsidR="00C407E6" w:rsidRDefault="00C407E6">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591C" w14:textId="490918B7" w:rsidR="00C407E6" w:rsidRDefault="00C407E6">
    <w:pPr>
      <w:pStyle w:val="Encabezado"/>
      <w:jc w:val="center"/>
      <w:rPr>
        <w:rStyle w:val="Nmerodepgina"/>
        <w:b/>
      </w:rPr>
    </w:pPr>
    <w:r>
      <w:rPr>
        <w:b/>
        <w:lang w:val="pt-BR"/>
      </w:rPr>
      <w:t xml:space="preserve">RESOLUCIÓN NUMERO                                          Hoja N°. </w:t>
    </w:r>
    <w:r>
      <w:rPr>
        <w:rStyle w:val="Nmerodepgina"/>
        <w:b/>
      </w:rPr>
      <w:fldChar w:fldCharType="begin"/>
    </w:r>
    <w:r>
      <w:rPr>
        <w:rStyle w:val="Nmerodepgina"/>
        <w:b/>
        <w:lang w:val="pt-BR"/>
      </w:rPr>
      <w:instrText xml:space="preserve"> PAGE </w:instrText>
    </w:r>
    <w:r>
      <w:rPr>
        <w:rStyle w:val="Nmerodepgina"/>
        <w:b/>
      </w:rPr>
      <w:fldChar w:fldCharType="separate"/>
    </w:r>
    <w:r w:rsidR="000A23D5">
      <w:rPr>
        <w:rStyle w:val="Nmerodepgina"/>
        <w:b/>
        <w:noProof/>
        <w:lang w:val="pt-BR"/>
      </w:rPr>
      <w:t>4</w:t>
    </w:r>
    <w:r>
      <w:rPr>
        <w:rStyle w:val="Nmerodepgina"/>
        <w:b/>
      </w:rPr>
      <w:fldChar w:fldCharType="end"/>
    </w:r>
  </w:p>
  <w:p w14:paraId="189A6F1A" w14:textId="77777777" w:rsidR="00C407E6" w:rsidRDefault="00C407E6">
    <w:pPr>
      <w:pStyle w:val="Encabezado"/>
      <w:jc w:val="center"/>
      <w:rPr>
        <w:b/>
      </w:rPr>
    </w:pPr>
  </w:p>
  <w:p w14:paraId="77A4E972" w14:textId="77777777" w:rsidR="00C407E6" w:rsidRDefault="000D0E0A">
    <w:pPr>
      <w:jc w:val="center"/>
      <w:rPr>
        <w:b/>
      </w:rPr>
    </w:pPr>
    <w:r>
      <w:rPr>
        <w:noProof/>
        <w:lang w:val="es-CO" w:eastAsia="es-CO"/>
      </w:rPr>
      <mc:AlternateContent>
        <mc:Choice Requires="wps">
          <w:drawing>
            <wp:anchor distT="0" distB="0" distL="114300" distR="114300" simplePos="0" relativeHeight="251658752" behindDoc="0" locked="0" layoutInCell="1" allowOverlap="1" wp14:anchorId="796ABF5E" wp14:editId="0F3C77EE">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07E7" id="Rectángulo 2" o:spid="_x0000_s1026" style="position:absolute;margin-left:39.45pt;margin-top:61.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14:paraId="0C9CB2AD" w14:textId="77777777" w:rsidR="00C407E6" w:rsidRPr="006E5AD4" w:rsidRDefault="00C407E6" w:rsidP="000A4888">
    <w:pPr>
      <w:pStyle w:val="Textoindependiente21"/>
      <w:tabs>
        <w:tab w:val="center" w:pos="4393"/>
      </w:tabs>
      <w:jc w:val="both"/>
      <w:rPr>
        <w:rFonts w:cs="Arial"/>
        <w:sz w:val="20"/>
        <w:szCs w:val="20"/>
      </w:rPr>
    </w:pPr>
    <w:r w:rsidRPr="00D37C4A">
      <w:rPr>
        <w:rFonts w:cs="Arial"/>
        <w:sz w:val="20"/>
        <w:szCs w:val="20"/>
      </w:rPr>
      <w:t xml:space="preserve">Continuación de la Resolución </w:t>
    </w:r>
    <w:r w:rsidR="00DA04EC">
      <w:rPr>
        <w:rFonts w:cs="Arial"/>
        <w:sz w:val="20"/>
        <w:szCs w:val="20"/>
      </w:rPr>
      <w:t>«</w:t>
    </w:r>
    <w:r w:rsidR="0079232E" w:rsidRPr="003B0986">
      <w:rPr>
        <w:i/>
        <w:sz w:val="20"/>
        <w:szCs w:val="20"/>
      </w:rPr>
      <w:t xml:space="preserve">Por la cual se establecen los criterios para la distribución y aplicación de los recursos provenientes del Impuesto sobre la Renta para la Equidad (CREE) en el marco de los Planes de Fomento a la Calidad, </w:t>
    </w:r>
    <w:r w:rsidR="00DA04EC" w:rsidRPr="003B0986">
      <w:rPr>
        <w:i/>
        <w:sz w:val="20"/>
        <w:szCs w:val="20"/>
      </w:rPr>
      <w:t>para la vigencia 2017 del año gravable 2016</w:t>
    </w:r>
    <w:r w:rsidR="00DA04EC">
      <w:rPr>
        <w:rFonts w:cs="Arial"/>
        <w:sz w:val="20"/>
        <w:szCs w:val="20"/>
      </w:rPr>
      <w:t>»</w:t>
    </w:r>
  </w:p>
  <w:p w14:paraId="727F5EDA" w14:textId="47575596" w:rsidR="00C407E6" w:rsidRDefault="00C407E6">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E491" w14:textId="77777777" w:rsidR="00C407E6" w:rsidRDefault="00C407E6">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6CA65435" w14:textId="77777777" w:rsidR="00C407E6" w:rsidRDefault="000D0E0A">
    <w:pPr>
      <w:pStyle w:val="Encabezado"/>
      <w:jc w:val="right"/>
      <w:rPr>
        <w:b/>
        <w:sz w:val="24"/>
      </w:rPr>
    </w:pPr>
    <w:r>
      <w:rPr>
        <w:noProof/>
        <w:lang w:val="es-CO" w:eastAsia="es-CO"/>
      </w:rPr>
      <mc:AlternateContent>
        <mc:Choice Requires="wps">
          <w:drawing>
            <wp:anchor distT="0" distB="0" distL="114300" distR="114300" simplePos="0" relativeHeight="251655680" behindDoc="0" locked="0" layoutInCell="1" allowOverlap="1" wp14:anchorId="1DD1A5D4" wp14:editId="0ED36A9E">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8439" id="Rectángulo 1" o:spid="_x0000_s1026" style="position:absolute;margin-left:38.95pt;margin-top:61.1pt;width:537.85pt;height:817.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14:paraId="43F964AC" w14:textId="77777777" w:rsidR="00C407E6" w:rsidRDefault="007A443E">
    <w:pPr>
      <w:pStyle w:val="Encabezado"/>
      <w:jc w:val="center"/>
      <w:rPr>
        <w:b/>
        <w:sz w:val="24"/>
      </w:rPr>
    </w:pPr>
    <w:r>
      <w:rPr>
        <w:noProof/>
        <w:sz w:val="28"/>
      </w:rPr>
      <w:object w:dxaOrig="1440" w:dyaOrig="1440" w14:anchorId="5FADF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6.25pt;margin-top:4.6pt;width:119.25pt;height:78.1pt;z-index:251656704;visibility:visible;mso-wrap-edited:f" o:allowincell="f">
          <v:imagedata r:id="rId1" o:title=""/>
          <w10:wrap type="topAndBottom"/>
        </v:shape>
        <o:OLEObject Type="Embed" ProgID="Word.Picture.8" ShapeID="_x0000_s2050" DrawAspect="Content" ObjectID="_1565078581" r:id="rId2"/>
      </w:object>
    </w:r>
  </w:p>
  <w:p w14:paraId="4E1A5F19" w14:textId="77777777" w:rsidR="00DA04EC" w:rsidRDefault="00DA04EC" w:rsidP="000A4888">
    <w:pPr>
      <w:pStyle w:val="Encabezado"/>
      <w:jc w:val="center"/>
      <w:rPr>
        <w:b/>
        <w:sz w:val="24"/>
      </w:rPr>
    </w:pPr>
  </w:p>
  <w:p w14:paraId="2D835C62" w14:textId="77777777" w:rsidR="00C407E6" w:rsidRDefault="00C407E6" w:rsidP="000A4888">
    <w:pPr>
      <w:pStyle w:val="Encabezado"/>
      <w:jc w:val="center"/>
      <w:rPr>
        <w:b/>
        <w:sz w:val="24"/>
      </w:rPr>
    </w:pPr>
    <w:r>
      <w:rPr>
        <w:b/>
        <w:sz w:val="24"/>
      </w:rPr>
      <w:t>MINISTERIO DE EDUCACIÓN NACIONAL</w:t>
    </w:r>
  </w:p>
  <w:p w14:paraId="237BF538" w14:textId="77777777" w:rsidR="00C407E6" w:rsidRDefault="00C407E6">
    <w:pPr>
      <w:pStyle w:val="Encabezado"/>
      <w:jc w:val="center"/>
      <w:rPr>
        <w:b/>
        <w:sz w:val="24"/>
      </w:rPr>
    </w:pPr>
  </w:p>
  <w:p w14:paraId="657B221C" w14:textId="77777777" w:rsidR="00DA04EC" w:rsidRDefault="00DA04EC">
    <w:pPr>
      <w:pStyle w:val="Encabezado"/>
      <w:jc w:val="center"/>
      <w:rPr>
        <w:b/>
        <w:sz w:val="24"/>
      </w:rPr>
    </w:pPr>
  </w:p>
  <w:p w14:paraId="3FD871ED" w14:textId="77777777" w:rsidR="00C407E6" w:rsidRDefault="00C407E6"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AB"/>
    <w:multiLevelType w:val="multilevel"/>
    <w:tmpl w:val="EB2487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24BD4"/>
    <w:multiLevelType w:val="hybridMultilevel"/>
    <w:tmpl w:val="D2967C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E6C33"/>
    <w:multiLevelType w:val="hybridMultilevel"/>
    <w:tmpl w:val="F3300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0155D8"/>
    <w:multiLevelType w:val="hybridMultilevel"/>
    <w:tmpl w:val="F09C3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4644D"/>
    <w:multiLevelType w:val="multilevel"/>
    <w:tmpl w:val="30A24496"/>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205CF0"/>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EC63772"/>
    <w:multiLevelType w:val="hybridMultilevel"/>
    <w:tmpl w:val="16A2C4DE"/>
    <w:lvl w:ilvl="0" w:tplc="2D3CA13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7D1513"/>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4A63EEE"/>
    <w:multiLevelType w:val="hybridMultilevel"/>
    <w:tmpl w:val="75B8AD9E"/>
    <w:lvl w:ilvl="0" w:tplc="0C628B14">
      <w:start w:val="1"/>
      <w:numFmt w:val="decimal"/>
      <w:lvlText w:val="%1."/>
      <w:lvlJc w:val="left"/>
      <w:pPr>
        <w:ind w:left="-207" w:hanging="360"/>
      </w:pPr>
      <w:rPr>
        <w:rFonts w:ascii="Arial" w:hAnsi="Arial" w:hint="default"/>
        <w:sz w:val="22"/>
      </w:rPr>
    </w:lvl>
    <w:lvl w:ilvl="1" w:tplc="240A0019">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2AEF5DAA"/>
    <w:multiLevelType w:val="hybridMultilevel"/>
    <w:tmpl w:val="BC20CDEC"/>
    <w:lvl w:ilvl="0" w:tplc="788622B4">
      <w:start w:val="1"/>
      <w:numFmt w:val="lowerLetter"/>
      <w:lvlText w:val="%1)"/>
      <w:lvlJc w:val="left"/>
      <w:pPr>
        <w:ind w:left="9858" w:hanging="360"/>
      </w:pPr>
      <w:rPr>
        <w:rFonts w:hint="default"/>
        <w:color w:val="auto"/>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15:restartNumberingAfterBreak="0">
    <w:nsid w:val="39FF30C3"/>
    <w:multiLevelType w:val="hybridMultilevel"/>
    <w:tmpl w:val="DAF47BEC"/>
    <w:lvl w:ilvl="0" w:tplc="B3A8C1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7970F5"/>
    <w:multiLevelType w:val="hybridMultilevel"/>
    <w:tmpl w:val="8C10D3EC"/>
    <w:lvl w:ilvl="0" w:tplc="240A0001">
      <w:start w:val="1"/>
      <w:numFmt w:val="bullet"/>
      <w:lvlText w:val=""/>
      <w:lvlJc w:val="left"/>
      <w:pPr>
        <w:ind w:left="1423" w:hanging="360"/>
      </w:pPr>
      <w:rPr>
        <w:rFonts w:ascii="Symbol" w:hAnsi="Symbol" w:hint="default"/>
      </w:rPr>
    </w:lvl>
    <w:lvl w:ilvl="1" w:tplc="240A0003" w:tentative="1">
      <w:start w:val="1"/>
      <w:numFmt w:val="bullet"/>
      <w:lvlText w:val="o"/>
      <w:lvlJc w:val="left"/>
      <w:pPr>
        <w:ind w:left="2143" w:hanging="360"/>
      </w:pPr>
      <w:rPr>
        <w:rFonts w:ascii="Courier New" w:hAnsi="Courier New" w:cs="Courier New" w:hint="default"/>
      </w:rPr>
    </w:lvl>
    <w:lvl w:ilvl="2" w:tplc="240A0005" w:tentative="1">
      <w:start w:val="1"/>
      <w:numFmt w:val="bullet"/>
      <w:lvlText w:val=""/>
      <w:lvlJc w:val="left"/>
      <w:pPr>
        <w:ind w:left="2863" w:hanging="360"/>
      </w:pPr>
      <w:rPr>
        <w:rFonts w:ascii="Wingdings" w:hAnsi="Wingdings" w:hint="default"/>
      </w:rPr>
    </w:lvl>
    <w:lvl w:ilvl="3" w:tplc="240A0001" w:tentative="1">
      <w:start w:val="1"/>
      <w:numFmt w:val="bullet"/>
      <w:lvlText w:val=""/>
      <w:lvlJc w:val="left"/>
      <w:pPr>
        <w:ind w:left="3583" w:hanging="360"/>
      </w:pPr>
      <w:rPr>
        <w:rFonts w:ascii="Symbol" w:hAnsi="Symbol" w:hint="default"/>
      </w:rPr>
    </w:lvl>
    <w:lvl w:ilvl="4" w:tplc="240A0003" w:tentative="1">
      <w:start w:val="1"/>
      <w:numFmt w:val="bullet"/>
      <w:lvlText w:val="o"/>
      <w:lvlJc w:val="left"/>
      <w:pPr>
        <w:ind w:left="4303" w:hanging="360"/>
      </w:pPr>
      <w:rPr>
        <w:rFonts w:ascii="Courier New" w:hAnsi="Courier New" w:cs="Courier New" w:hint="default"/>
      </w:rPr>
    </w:lvl>
    <w:lvl w:ilvl="5" w:tplc="240A0005" w:tentative="1">
      <w:start w:val="1"/>
      <w:numFmt w:val="bullet"/>
      <w:lvlText w:val=""/>
      <w:lvlJc w:val="left"/>
      <w:pPr>
        <w:ind w:left="5023" w:hanging="360"/>
      </w:pPr>
      <w:rPr>
        <w:rFonts w:ascii="Wingdings" w:hAnsi="Wingdings" w:hint="default"/>
      </w:rPr>
    </w:lvl>
    <w:lvl w:ilvl="6" w:tplc="240A0001" w:tentative="1">
      <w:start w:val="1"/>
      <w:numFmt w:val="bullet"/>
      <w:lvlText w:val=""/>
      <w:lvlJc w:val="left"/>
      <w:pPr>
        <w:ind w:left="5743" w:hanging="360"/>
      </w:pPr>
      <w:rPr>
        <w:rFonts w:ascii="Symbol" w:hAnsi="Symbol" w:hint="default"/>
      </w:rPr>
    </w:lvl>
    <w:lvl w:ilvl="7" w:tplc="240A0003" w:tentative="1">
      <w:start w:val="1"/>
      <w:numFmt w:val="bullet"/>
      <w:lvlText w:val="o"/>
      <w:lvlJc w:val="left"/>
      <w:pPr>
        <w:ind w:left="6463" w:hanging="360"/>
      </w:pPr>
      <w:rPr>
        <w:rFonts w:ascii="Courier New" w:hAnsi="Courier New" w:cs="Courier New" w:hint="default"/>
      </w:rPr>
    </w:lvl>
    <w:lvl w:ilvl="8" w:tplc="240A0005" w:tentative="1">
      <w:start w:val="1"/>
      <w:numFmt w:val="bullet"/>
      <w:lvlText w:val=""/>
      <w:lvlJc w:val="left"/>
      <w:pPr>
        <w:ind w:left="7183" w:hanging="360"/>
      </w:pPr>
      <w:rPr>
        <w:rFonts w:ascii="Wingdings" w:hAnsi="Wingdings" w:hint="default"/>
      </w:rPr>
    </w:lvl>
  </w:abstractNum>
  <w:abstractNum w:abstractNumId="12" w15:restartNumberingAfterBreak="0">
    <w:nsid w:val="4D0D33FA"/>
    <w:multiLevelType w:val="hybridMultilevel"/>
    <w:tmpl w:val="B450D9B2"/>
    <w:lvl w:ilvl="0" w:tplc="444C90DC">
      <w:start w:val="1"/>
      <w:numFmt w:val="decimal"/>
      <w:lvlText w:val="%1."/>
      <w:lvlJc w:val="left"/>
      <w:pPr>
        <w:ind w:left="-207" w:hanging="360"/>
      </w:pPr>
      <w:rPr>
        <w:rFonts w:ascii="Arial" w:hAnsi="Arial" w:hint="default"/>
        <w:color w:val="auto"/>
        <w:sz w:val="22"/>
      </w:rPr>
    </w:lvl>
    <w:lvl w:ilvl="1" w:tplc="240A0019">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5C5C76AF"/>
    <w:multiLevelType w:val="hybridMultilevel"/>
    <w:tmpl w:val="7F0A41F2"/>
    <w:lvl w:ilvl="0" w:tplc="B99AF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C0C00"/>
    <w:multiLevelType w:val="hybridMultilevel"/>
    <w:tmpl w:val="7F846FB0"/>
    <w:lvl w:ilvl="0" w:tplc="438006F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A00B13"/>
    <w:multiLevelType w:val="multilevel"/>
    <w:tmpl w:val="640473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1A65884"/>
    <w:multiLevelType w:val="hybridMultilevel"/>
    <w:tmpl w:val="F96AE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A05B54"/>
    <w:multiLevelType w:val="hybridMultilevel"/>
    <w:tmpl w:val="50B20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A742E2"/>
    <w:multiLevelType w:val="hybridMultilevel"/>
    <w:tmpl w:val="EA9A9C74"/>
    <w:lvl w:ilvl="0" w:tplc="DE980A0C">
      <w:start w:val="1"/>
      <w:numFmt w:val="decimal"/>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1A110BB"/>
    <w:multiLevelType w:val="hybridMultilevel"/>
    <w:tmpl w:val="F0707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1D4341C"/>
    <w:multiLevelType w:val="hybridMultilevel"/>
    <w:tmpl w:val="5204C3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780B64"/>
    <w:multiLevelType w:val="hybridMultilevel"/>
    <w:tmpl w:val="1D268184"/>
    <w:lvl w:ilvl="0" w:tplc="3996C31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9"/>
  </w:num>
  <w:num w:numId="5">
    <w:abstractNumId w:val="18"/>
  </w:num>
  <w:num w:numId="6">
    <w:abstractNumId w:val="7"/>
  </w:num>
  <w:num w:numId="7">
    <w:abstractNumId w:val="5"/>
  </w:num>
  <w:num w:numId="8">
    <w:abstractNumId w:val="2"/>
  </w:num>
  <w:num w:numId="9">
    <w:abstractNumId w:val="3"/>
  </w:num>
  <w:num w:numId="10">
    <w:abstractNumId w:val="12"/>
  </w:num>
  <w:num w:numId="11">
    <w:abstractNumId w:val="8"/>
  </w:num>
  <w:num w:numId="12">
    <w:abstractNumId w:val="9"/>
  </w:num>
  <w:num w:numId="13">
    <w:abstractNumId w:val="11"/>
  </w:num>
  <w:num w:numId="14">
    <w:abstractNumId w:val="4"/>
  </w:num>
  <w:num w:numId="15">
    <w:abstractNumId w:val="21"/>
  </w:num>
  <w:num w:numId="16">
    <w:abstractNumId w:val="14"/>
  </w:num>
  <w:num w:numId="17">
    <w:abstractNumId w:val="10"/>
  </w:num>
  <w:num w:numId="18">
    <w:abstractNumId w:val="1"/>
  </w:num>
  <w:num w:numId="19">
    <w:abstractNumId w:val="20"/>
  </w:num>
  <w:num w:numId="20">
    <w:abstractNumId w:val="1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EB"/>
    <w:rsid w:val="00000939"/>
    <w:rsid w:val="00014621"/>
    <w:rsid w:val="00017B74"/>
    <w:rsid w:val="00024B6D"/>
    <w:rsid w:val="00025235"/>
    <w:rsid w:val="000407C1"/>
    <w:rsid w:val="00041A6B"/>
    <w:rsid w:val="0004673E"/>
    <w:rsid w:val="00046A08"/>
    <w:rsid w:val="00054AA5"/>
    <w:rsid w:val="00054DA2"/>
    <w:rsid w:val="00065F0B"/>
    <w:rsid w:val="0007322F"/>
    <w:rsid w:val="00081DAE"/>
    <w:rsid w:val="000838C0"/>
    <w:rsid w:val="00083D01"/>
    <w:rsid w:val="00093896"/>
    <w:rsid w:val="000A0B99"/>
    <w:rsid w:val="000A1321"/>
    <w:rsid w:val="000A23D5"/>
    <w:rsid w:val="000A3194"/>
    <w:rsid w:val="000A4888"/>
    <w:rsid w:val="000A5A84"/>
    <w:rsid w:val="000B00A5"/>
    <w:rsid w:val="000B361F"/>
    <w:rsid w:val="000B4812"/>
    <w:rsid w:val="000B69E5"/>
    <w:rsid w:val="000C0E48"/>
    <w:rsid w:val="000C1FAE"/>
    <w:rsid w:val="000C53C9"/>
    <w:rsid w:val="000D0E0A"/>
    <w:rsid w:val="000D7DC2"/>
    <w:rsid w:val="000E08BC"/>
    <w:rsid w:val="000E1AD2"/>
    <w:rsid w:val="000E1C16"/>
    <w:rsid w:val="000E458A"/>
    <w:rsid w:val="0010249F"/>
    <w:rsid w:val="00103240"/>
    <w:rsid w:val="001074BE"/>
    <w:rsid w:val="00107B3B"/>
    <w:rsid w:val="00113EA8"/>
    <w:rsid w:val="001237B7"/>
    <w:rsid w:val="00124699"/>
    <w:rsid w:val="001248A4"/>
    <w:rsid w:val="00130499"/>
    <w:rsid w:val="001327C0"/>
    <w:rsid w:val="00136D2C"/>
    <w:rsid w:val="00140ABE"/>
    <w:rsid w:val="00141898"/>
    <w:rsid w:val="001451FC"/>
    <w:rsid w:val="00147C44"/>
    <w:rsid w:val="00150425"/>
    <w:rsid w:val="00151456"/>
    <w:rsid w:val="00152157"/>
    <w:rsid w:val="001541B5"/>
    <w:rsid w:val="00157083"/>
    <w:rsid w:val="00161CBD"/>
    <w:rsid w:val="00173F50"/>
    <w:rsid w:val="00183A53"/>
    <w:rsid w:val="00184744"/>
    <w:rsid w:val="001912CB"/>
    <w:rsid w:val="001946D2"/>
    <w:rsid w:val="001A2AA9"/>
    <w:rsid w:val="001A4A34"/>
    <w:rsid w:val="001B0928"/>
    <w:rsid w:val="001B6C6B"/>
    <w:rsid w:val="001D12E2"/>
    <w:rsid w:val="001D459F"/>
    <w:rsid w:val="001E018F"/>
    <w:rsid w:val="001E25EB"/>
    <w:rsid w:val="001F43B9"/>
    <w:rsid w:val="00207A50"/>
    <w:rsid w:val="00213A3E"/>
    <w:rsid w:val="002166FE"/>
    <w:rsid w:val="00221B47"/>
    <w:rsid w:val="002261DF"/>
    <w:rsid w:val="00235974"/>
    <w:rsid w:val="002360C6"/>
    <w:rsid w:val="002408BF"/>
    <w:rsid w:val="002438E7"/>
    <w:rsid w:val="0024451C"/>
    <w:rsid w:val="0024792E"/>
    <w:rsid w:val="002513CF"/>
    <w:rsid w:val="00253A8A"/>
    <w:rsid w:val="002678B2"/>
    <w:rsid w:val="00267B1D"/>
    <w:rsid w:val="0027068E"/>
    <w:rsid w:val="00293F18"/>
    <w:rsid w:val="002A1633"/>
    <w:rsid w:val="002A380E"/>
    <w:rsid w:val="002A4402"/>
    <w:rsid w:val="002B122A"/>
    <w:rsid w:val="002C4360"/>
    <w:rsid w:val="002D4E13"/>
    <w:rsid w:val="002D5CEC"/>
    <w:rsid w:val="002D713D"/>
    <w:rsid w:val="002E62DD"/>
    <w:rsid w:val="0030016B"/>
    <w:rsid w:val="003003E2"/>
    <w:rsid w:val="00300815"/>
    <w:rsid w:val="00306C0F"/>
    <w:rsid w:val="0030752B"/>
    <w:rsid w:val="003078ED"/>
    <w:rsid w:val="00313134"/>
    <w:rsid w:val="00313473"/>
    <w:rsid w:val="0031505F"/>
    <w:rsid w:val="00320C14"/>
    <w:rsid w:val="00324422"/>
    <w:rsid w:val="00327264"/>
    <w:rsid w:val="0033120A"/>
    <w:rsid w:val="003366E5"/>
    <w:rsid w:val="0033750A"/>
    <w:rsid w:val="00341C61"/>
    <w:rsid w:val="003420B3"/>
    <w:rsid w:val="00350E83"/>
    <w:rsid w:val="00350F4C"/>
    <w:rsid w:val="00354ADA"/>
    <w:rsid w:val="00364562"/>
    <w:rsid w:val="003666F5"/>
    <w:rsid w:val="00372921"/>
    <w:rsid w:val="00374952"/>
    <w:rsid w:val="0037599E"/>
    <w:rsid w:val="00377A8A"/>
    <w:rsid w:val="003A0885"/>
    <w:rsid w:val="003A1B98"/>
    <w:rsid w:val="003A23BF"/>
    <w:rsid w:val="003A2A87"/>
    <w:rsid w:val="003A5A90"/>
    <w:rsid w:val="003B0197"/>
    <w:rsid w:val="003B0986"/>
    <w:rsid w:val="003B0BE1"/>
    <w:rsid w:val="003B26EA"/>
    <w:rsid w:val="003B41D4"/>
    <w:rsid w:val="003B4DDC"/>
    <w:rsid w:val="003C12B1"/>
    <w:rsid w:val="003D66D2"/>
    <w:rsid w:val="003D6E8A"/>
    <w:rsid w:val="003E5501"/>
    <w:rsid w:val="003F05B2"/>
    <w:rsid w:val="003F35E5"/>
    <w:rsid w:val="003F640A"/>
    <w:rsid w:val="004005E4"/>
    <w:rsid w:val="00401B59"/>
    <w:rsid w:val="00406205"/>
    <w:rsid w:val="00411D91"/>
    <w:rsid w:val="00412E18"/>
    <w:rsid w:val="0041430F"/>
    <w:rsid w:val="00431C9E"/>
    <w:rsid w:val="0044788F"/>
    <w:rsid w:val="00452495"/>
    <w:rsid w:val="00456110"/>
    <w:rsid w:val="00462D52"/>
    <w:rsid w:val="0046339B"/>
    <w:rsid w:val="00471D81"/>
    <w:rsid w:val="00476C2C"/>
    <w:rsid w:val="00480B5F"/>
    <w:rsid w:val="00483829"/>
    <w:rsid w:val="00492F25"/>
    <w:rsid w:val="004A12D6"/>
    <w:rsid w:val="004A2A9A"/>
    <w:rsid w:val="004A2C98"/>
    <w:rsid w:val="004A6F11"/>
    <w:rsid w:val="004A75E3"/>
    <w:rsid w:val="004B174C"/>
    <w:rsid w:val="004C5BCB"/>
    <w:rsid w:val="004D0816"/>
    <w:rsid w:val="004D08DB"/>
    <w:rsid w:val="004D7E80"/>
    <w:rsid w:val="004E5E31"/>
    <w:rsid w:val="004F31C7"/>
    <w:rsid w:val="00506211"/>
    <w:rsid w:val="00510D1D"/>
    <w:rsid w:val="00514B32"/>
    <w:rsid w:val="0052053A"/>
    <w:rsid w:val="00523545"/>
    <w:rsid w:val="00524E81"/>
    <w:rsid w:val="0052783A"/>
    <w:rsid w:val="00535E4A"/>
    <w:rsid w:val="00536D71"/>
    <w:rsid w:val="005412EF"/>
    <w:rsid w:val="00541ACD"/>
    <w:rsid w:val="00551328"/>
    <w:rsid w:val="0055176D"/>
    <w:rsid w:val="00551CF1"/>
    <w:rsid w:val="00557E6D"/>
    <w:rsid w:val="005606D1"/>
    <w:rsid w:val="0056357A"/>
    <w:rsid w:val="00567334"/>
    <w:rsid w:val="005715A6"/>
    <w:rsid w:val="005716CD"/>
    <w:rsid w:val="005723D3"/>
    <w:rsid w:val="00573D5A"/>
    <w:rsid w:val="0057536C"/>
    <w:rsid w:val="00576B87"/>
    <w:rsid w:val="00583E07"/>
    <w:rsid w:val="005878F1"/>
    <w:rsid w:val="005C02C1"/>
    <w:rsid w:val="005D067E"/>
    <w:rsid w:val="005D126B"/>
    <w:rsid w:val="005E042A"/>
    <w:rsid w:val="005E6E01"/>
    <w:rsid w:val="005F4740"/>
    <w:rsid w:val="005F5206"/>
    <w:rsid w:val="00601B3C"/>
    <w:rsid w:val="0060323C"/>
    <w:rsid w:val="0060346F"/>
    <w:rsid w:val="00603F06"/>
    <w:rsid w:val="00606395"/>
    <w:rsid w:val="00617376"/>
    <w:rsid w:val="0062051C"/>
    <w:rsid w:val="00623678"/>
    <w:rsid w:val="00625CD7"/>
    <w:rsid w:val="00626F96"/>
    <w:rsid w:val="00632F41"/>
    <w:rsid w:val="00635411"/>
    <w:rsid w:val="006442C3"/>
    <w:rsid w:val="00647BA2"/>
    <w:rsid w:val="00652ED9"/>
    <w:rsid w:val="00667B4F"/>
    <w:rsid w:val="00675BB6"/>
    <w:rsid w:val="00676EC6"/>
    <w:rsid w:val="00681ADD"/>
    <w:rsid w:val="00682449"/>
    <w:rsid w:val="00690FB0"/>
    <w:rsid w:val="00693A14"/>
    <w:rsid w:val="006A6B45"/>
    <w:rsid w:val="006B0984"/>
    <w:rsid w:val="006C2BB0"/>
    <w:rsid w:val="006C70AF"/>
    <w:rsid w:val="006D2467"/>
    <w:rsid w:val="006D7253"/>
    <w:rsid w:val="006E20B6"/>
    <w:rsid w:val="006E3A5A"/>
    <w:rsid w:val="006E5AD4"/>
    <w:rsid w:val="006F33FE"/>
    <w:rsid w:val="006F3596"/>
    <w:rsid w:val="007038EC"/>
    <w:rsid w:val="00705816"/>
    <w:rsid w:val="007137B7"/>
    <w:rsid w:val="00715C90"/>
    <w:rsid w:val="00730E1C"/>
    <w:rsid w:val="007349D8"/>
    <w:rsid w:val="00741628"/>
    <w:rsid w:val="00741849"/>
    <w:rsid w:val="00743BB8"/>
    <w:rsid w:val="007451B2"/>
    <w:rsid w:val="007458FA"/>
    <w:rsid w:val="0075545A"/>
    <w:rsid w:val="00765650"/>
    <w:rsid w:val="00765D61"/>
    <w:rsid w:val="007742F9"/>
    <w:rsid w:val="00790360"/>
    <w:rsid w:val="0079232E"/>
    <w:rsid w:val="00795564"/>
    <w:rsid w:val="007A443E"/>
    <w:rsid w:val="007A4BFD"/>
    <w:rsid w:val="007B0DDA"/>
    <w:rsid w:val="007B15AC"/>
    <w:rsid w:val="007C0920"/>
    <w:rsid w:val="007C4225"/>
    <w:rsid w:val="007C575B"/>
    <w:rsid w:val="007D459A"/>
    <w:rsid w:val="007D570A"/>
    <w:rsid w:val="007E36AD"/>
    <w:rsid w:val="007E6B17"/>
    <w:rsid w:val="007F0FA2"/>
    <w:rsid w:val="007F1549"/>
    <w:rsid w:val="007F1B4A"/>
    <w:rsid w:val="007F377C"/>
    <w:rsid w:val="007F646B"/>
    <w:rsid w:val="0081234F"/>
    <w:rsid w:val="00822B16"/>
    <w:rsid w:val="00826820"/>
    <w:rsid w:val="00827762"/>
    <w:rsid w:val="008367C2"/>
    <w:rsid w:val="0084259E"/>
    <w:rsid w:val="0085637C"/>
    <w:rsid w:val="00862AF5"/>
    <w:rsid w:val="00871E4F"/>
    <w:rsid w:val="00881ACE"/>
    <w:rsid w:val="00886D12"/>
    <w:rsid w:val="00895A35"/>
    <w:rsid w:val="008A5E4B"/>
    <w:rsid w:val="008A603A"/>
    <w:rsid w:val="008A6BAE"/>
    <w:rsid w:val="008A6DD2"/>
    <w:rsid w:val="008B781E"/>
    <w:rsid w:val="008B7C48"/>
    <w:rsid w:val="008C02A1"/>
    <w:rsid w:val="008C3600"/>
    <w:rsid w:val="008D05F9"/>
    <w:rsid w:val="008D0924"/>
    <w:rsid w:val="008D4EDF"/>
    <w:rsid w:val="008D7B2F"/>
    <w:rsid w:val="008E2114"/>
    <w:rsid w:val="008E7027"/>
    <w:rsid w:val="008F303A"/>
    <w:rsid w:val="008F7C57"/>
    <w:rsid w:val="008F7DC6"/>
    <w:rsid w:val="008F7EA5"/>
    <w:rsid w:val="009009E4"/>
    <w:rsid w:val="00901E42"/>
    <w:rsid w:val="00912690"/>
    <w:rsid w:val="0092272F"/>
    <w:rsid w:val="00925A32"/>
    <w:rsid w:val="009313C5"/>
    <w:rsid w:val="0093155D"/>
    <w:rsid w:val="00936DA8"/>
    <w:rsid w:val="00953521"/>
    <w:rsid w:val="00956AED"/>
    <w:rsid w:val="00973C4B"/>
    <w:rsid w:val="0098031A"/>
    <w:rsid w:val="00981308"/>
    <w:rsid w:val="009843FB"/>
    <w:rsid w:val="009845A0"/>
    <w:rsid w:val="00984AEC"/>
    <w:rsid w:val="009945E9"/>
    <w:rsid w:val="009A1C17"/>
    <w:rsid w:val="009A63D7"/>
    <w:rsid w:val="009B0096"/>
    <w:rsid w:val="009B015D"/>
    <w:rsid w:val="009C01B0"/>
    <w:rsid w:val="009C2560"/>
    <w:rsid w:val="009D12E6"/>
    <w:rsid w:val="009D33B3"/>
    <w:rsid w:val="009D4BC3"/>
    <w:rsid w:val="009D5C32"/>
    <w:rsid w:val="009D6761"/>
    <w:rsid w:val="009E1125"/>
    <w:rsid w:val="009E2F71"/>
    <w:rsid w:val="009E4462"/>
    <w:rsid w:val="00A167B0"/>
    <w:rsid w:val="00A2342B"/>
    <w:rsid w:val="00A322EB"/>
    <w:rsid w:val="00A33B76"/>
    <w:rsid w:val="00A478D2"/>
    <w:rsid w:val="00A540B8"/>
    <w:rsid w:val="00A65007"/>
    <w:rsid w:val="00A6553F"/>
    <w:rsid w:val="00A7145F"/>
    <w:rsid w:val="00A74EA9"/>
    <w:rsid w:val="00A75DC1"/>
    <w:rsid w:val="00A92278"/>
    <w:rsid w:val="00A959DE"/>
    <w:rsid w:val="00AB64D5"/>
    <w:rsid w:val="00AB6DAF"/>
    <w:rsid w:val="00AC157B"/>
    <w:rsid w:val="00AC33A1"/>
    <w:rsid w:val="00AD63C3"/>
    <w:rsid w:val="00AD74C0"/>
    <w:rsid w:val="00AD7897"/>
    <w:rsid w:val="00AE1C05"/>
    <w:rsid w:val="00AE3366"/>
    <w:rsid w:val="00AE66C0"/>
    <w:rsid w:val="00AE7F5C"/>
    <w:rsid w:val="00AF219F"/>
    <w:rsid w:val="00AF79D2"/>
    <w:rsid w:val="00B0241D"/>
    <w:rsid w:val="00B101A0"/>
    <w:rsid w:val="00B10479"/>
    <w:rsid w:val="00B15DEB"/>
    <w:rsid w:val="00B174A5"/>
    <w:rsid w:val="00B254F4"/>
    <w:rsid w:val="00B2558A"/>
    <w:rsid w:val="00B255CD"/>
    <w:rsid w:val="00B37451"/>
    <w:rsid w:val="00B43A60"/>
    <w:rsid w:val="00B44BC9"/>
    <w:rsid w:val="00B46E78"/>
    <w:rsid w:val="00B63E6E"/>
    <w:rsid w:val="00B67B76"/>
    <w:rsid w:val="00B75839"/>
    <w:rsid w:val="00B77E5E"/>
    <w:rsid w:val="00B82ED9"/>
    <w:rsid w:val="00B859FA"/>
    <w:rsid w:val="00B87D0A"/>
    <w:rsid w:val="00B90B1F"/>
    <w:rsid w:val="00B9676E"/>
    <w:rsid w:val="00BB0240"/>
    <w:rsid w:val="00BB3AD9"/>
    <w:rsid w:val="00BB49EF"/>
    <w:rsid w:val="00BB5F13"/>
    <w:rsid w:val="00BB69E8"/>
    <w:rsid w:val="00BB6B35"/>
    <w:rsid w:val="00BC0490"/>
    <w:rsid w:val="00BC17CE"/>
    <w:rsid w:val="00BC56B2"/>
    <w:rsid w:val="00BD07A8"/>
    <w:rsid w:val="00BD3D48"/>
    <w:rsid w:val="00BD3F7E"/>
    <w:rsid w:val="00BE216A"/>
    <w:rsid w:val="00BE2FDD"/>
    <w:rsid w:val="00BE6A86"/>
    <w:rsid w:val="00BE7FAE"/>
    <w:rsid w:val="00BF5A30"/>
    <w:rsid w:val="00C0617E"/>
    <w:rsid w:val="00C106EB"/>
    <w:rsid w:val="00C11C8E"/>
    <w:rsid w:val="00C13CBC"/>
    <w:rsid w:val="00C15702"/>
    <w:rsid w:val="00C15D47"/>
    <w:rsid w:val="00C21C47"/>
    <w:rsid w:val="00C24DF4"/>
    <w:rsid w:val="00C25B4A"/>
    <w:rsid w:val="00C31C5E"/>
    <w:rsid w:val="00C35178"/>
    <w:rsid w:val="00C37689"/>
    <w:rsid w:val="00C407E6"/>
    <w:rsid w:val="00C454E5"/>
    <w:rsid w:val="00C45618"/>
    <w:rsid w:val="00C50170"/>
    <w:rsid w:val="00C50258"/>
    <w:rsid w:val="00C5228F"/>
    <w:rsid w:val="00C52F79"/>
    <w:rsid w:val="00C53ECC"/>
    <w:rsid w:val="00C57E41"/>
    <w:rsid w:val="00C72028"/>
    <w:rsid w:val="00C74225"/>
    <w:rsid w:val="00CA3632"/>
    <w:rsid w:val="00CA3DAE"/>
    <w:rsid w:val="00CA445B"/>
    <w:rsid w:val="00CA4D30"/>
    <w:rsid w:val="00CA57AD"/>
    <w:rsid w:val="00CB3C7B"/>
    <w:rsid w:val="00CB6724"/>
    <w:rsid w:val="00CB6943"/>
    <w:rsid w:val="00CB70B6"/>
    <w:rsid w:val="00CC0028"/>
    <w:rsid w:val="00CC3DC4"/>
    <w:rsid w:val="00CE626C"/>
    <w:rsid w:val="00CF0A76"/>
    <w:rsid w:val="00CF0D48"/>
    <w:rsid w:val="00CF1A7C"/>
    <w:rsid w:val="00CF1F67"/>
    <w:rsid w:val="00CF4510"/>
    <w:rsid w:val="00CF67D5"/>
    <w:rsid w:val="00D00FCC"/>
    <w:rsid w:val="00D04906"/>
    <w:rsid w:val="00D1317F"/>
    <w:rsid w:val="00D1366A"/>
    <w:rsid w:val="00D13901"/>
    <w:rsid w:val="00D16B5F"/>
    <w:rsid w:val="00D20006"/>
    <w:rsid w:val="00D21518"/>
    <w:rsid w:val="00D224E9"/>
    <w:rsid w:val="00D22D2D"/>
    <w:rsid w:val="00D251F6"/>
    <w:rsid w:val="00D367AC"/>
    <w:rsid w:val="00D4146A"/>
    <w:rsid w:val="00D42551"/>
    <w:rsid w:val="00D43D19"/>
    <w:rsid w:val="00D46F9B"/>
    <w:rsid w:val="00D54F4D"/>
    <w:rsid w:val="00D5769B"/>
    <w:rsid w:val="00D6265D"/>
    <w:rsid w:val="00D67FA6"/>
    <w:rsid w:val="00D77F30"/>
    <w:rsid w:val="00D822FA"/>
    <w:rsid w:val="00D82517"/>
    <w:rsid w:val="00D84DE5"/>
    <w:rsid w:val="00D90785"/>
    <w:rsid w:val="00D919F5"/>
    <w:rsid w:val="00DA04EC"/>
    <w:rsid w:val="00DA1ACF"/>
    <w:rsid w:val="00DA561D"/>
    <w:rsid w:val="00DC2A2C"/>
    <w:rsid w:val="00DC474B"/>
    <w:rsid w:val="00DE0886"/>
    <w:rsid w:val="00DE57A6"/>
    <w:rsid w:val="00DE6624"/>
    <w:rsid w:val="00DF74FF"/>
    <w:rsid w:val="00E10469"/>
    <w:rsid w:val="00E1076C"/>
    <w:rsid w:val="00E11434"/>
    <w:rsid w:val="00E27975"/>
    <w:rsid w:val="00E31650"/>
    <w:rsid w:val="00E50C13"/>
    <w:rsid w:val="00E50F8C"/>
    <w:rsid w:val="00E52F37"/>
    <w:rsid w:val="00E57AAD"/>
    <w:rsid w:val="00E623AC"/>
    <w:rsid w:val="00E63103"/>
    <w:rsid w:val="00E67EAA"/>
    <w:rsid w:val="00E716E8"/>
    <w:rsid w:val="00E730C4"/>
    <w:rsid w:val="00E74C15"/>
    <w:rsid w:val="00E74FD3"/>
    <w:rsid w:val="00E753C9"/>
    <w:rsid w:val="00E969D5"/>
    <w:rsid w:val="00EA11A7"/>
    <w:rsid w:val="00EA6C5D"/>
    <w:rsid w:val="00EA7494"/>
    <w:rsid w:val="00EA757A"/>
    <w:rsid w:val="00EB249C"/>
    <w:rsid w:val="00EC1AC4"/>
    <w:rsid w:val="00EE6700"/>
    <w:rsid w:val="00EF3890"/>
    <w:rsid w:val="00EF5F8A"/>
    <w:rsid w:val="00EF7750"/>
    <w:rsid w:val="00F05031"/>
    <w:rsid w:val="00F13F3E"/>
    <w:rsid w:val="00F27C2E"/>
    <w:rsid w:val="00F31A6E"/>
    <w:rsid w:val="00F31B63"/>
    <w:rsid w:val="00F32CB0"/>
    <w:rsid w:val="00F35D9F"/>
    <w:rsid w:val="00F37A64"/>
    <w:rsid w:val="00F42456"/>
    <w:rsid w:val="00F445FC"/>
    <w:rsid w:val="00F46856"/>
    <w:rsid w:val="00F51AFF"/>
    <w:rsid w:val="00F5227C"/>
    <w:rsid w:val="00F5414A"/>
    <w:rsid w:val="00F56687"/>
    <w:rsid w:val="00F57AA2"/>
    <w:rsid w:val="00F61F70"/>
    <w:rsid w:val="00F62373"/>
    <w:rsid w:val="00F636DF"/>
    <w:rsid w:val="00F63C59"/>
    <w:rsid w:val="00F67F58"/>
    <w:rsid w:val="00F70C27"/>
    <w:rsid w:val="00F87CD0"/>
    <w:rsid w:val="00FA37D7"/>
    <w:rsid w:val="00FB1DF5"/>
    <w:rsid w:val="00FB2DE6"/>
    <w:rsid w:val="00FB3A86"/>
    <w:rsid w:val="00FB67DC"/>
    <w:rsid w:val="00FC3C37"/>
    <w:rsid w:val="00FC5FC3"/>
    <w:rsid w:val="00FE0A79"/>
    <w:rsid w:val="00FE5FF2"/>
    <w:rsid w:val="00FF1CDE"/>
    <w:rsid w:val="00FF210F"/>
    <w:rsid w:val="00FF2188"/>
    <w:rsid w:val="00FF25CF"/>
    <w:rsid w:val="00FF5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C3B876"/>
  <w15:chartTrackingRefBased/>
  <w15:docId w15:val="{648E134C-1091-4D3B-B7CD-DFB1ABAB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DEB"/>
    <w:rPr>
      <w:rFonts w:ascii="Arial" w:eastAsia="Times New Roman" w:hAnsi="Arial"/>
      <w:sz w:val="24"/>
      <w:szCs w:val="24"/>
      <w:lang w:val="es-ES" w:eastAsia="es-ES"/>
    </w:rPr>
  </w:style>
  <w:style w:type="paragraph" w:styleId="Ttulo1">
    <w:name w:val="heading 1"/>
    <w:basedOn w:val="Normal"/>
    <w:next w:val="Normal"/>
    <w:link w:val="Ttulo1Car"/>
    <w:qFormat/>
    <w:rsid w:val="006E5AD4"/>
    <w:pPr>
      <w:keepNext/>
      <w:jc w:val="center"/>
      <w:outlineLvl w:val="0"/>
    </w:pPr>
    <w:rPr>
      <w:b/>
      <w:szCs w:val="20"/>
      <w:lang w:val="es-ES_tradnl"/>
    </w:rPr>
  </w:style>
  <w:style w:type="paragraph" w:styleId="Ttulo2">
    <w:name w:val="heading 2"/>
    <w:basedOn w:val="Normal"/>
    <w:next w:val="Normal"/>
    <w:link w:val="Ttulo2Car"/>
    <w:qFormat/>
    <w:rsid w:val="006E5AD4"/>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6E5AD4"/>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6E5AD4"/>
    <w:pPr>
      <w:keepNext/>
      <w:outlineLvl w:val="3"/>
    </w:pPr>
    <w:rPr>
      <w:b/>
      <w:szCs w:val="20"/>
      <w:lang w:val="es-ES_tradnl"/>
    </w:rPr>
  </w:style>
  <w:style w:type="paragraph" w:styleId="Ttulo5">
    <w:name w:val="heading 5"/>
    <w:basedOn w:val="Normal"/>
    <w:next w:val="Normal"/>
    <w:link w:val="Ttulo5Car"/>
    <w:qFormat/>
    <w:rsid w:val="006E5AD4"/>
    <w:pPr>
      <w:keepNext/>
      <w:outlineLvl w:val="4"/>
    </w:pPr>
    <w:rPr>
      <w:b/>
      <w:bCs/>
      <w:color w:val="000000"/>
      <w:sz w:val="18"/>
      <w:szCs w:val="20"/>
    </w:rPr>
  </w:style>
  <w:style w:type="paragraph" w:styleId="Ttulo6">
    <w:name w:val="heading 6"/>
    <w:basedOn w:val="Normal"/>
    <w:next w:val="Normal"/>
    <w:link w:val="Ttulo6Car"/>
    <w:qFormat/>
    <w:rsid w:val="006E5AD4"/>
    <w:pPr>
      <w:keepNext/>
      <w:outlineLvl w:val="5"/>
    </w:pPr>
    <w:rPr>
      <w:b/>
      <w:bCs/>
      <w:color w:val="000000"/>
      <w:sz w:val="20"/>
      <w:szCs w:val="20"/>
    </w:rPr>
  </w:style>
  <w:style w:type="paragraph" w:styleId="Ttulo7">
    <w:name w:val="heading 7"/>
    <w:basedOn w:val="Normal"/>
    <w:next w:val="Normal"/>
    <w:link w:val="Ttulo7Car"/>
    <w:qFormat/>
    <w:rsid w:val="006E5AD4"/>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E5AD4"/>
    <w:rPr>
      <w:rFonts w:ascii="Arial" w:eastAsia="Times New Roman" w:hAnsi="Arial"/>
      <w:b/>
      <w:sz w:val="24"/>
      <w:lang w:val="es-ES_tradnl" w:eastAsia="es-ES"/>
    </w:rPr>
  </w:style>
  <w:style w:type="character" w:customStyle="1" w:styleId="Ttulo2Car">
    <w:name w:val="Título 2 Car"/>
    <w:link w:val="Ttulo2"/>
    <w:rsid w:val="006E5AD4"/>
    <w:rPr>
      <w:rFonts w:ascii="Times New Roman" w:eastAsia="Times New Roman" w:hAnsi="Times New Roman"/>
      <w:b/>
      <w:bCs/>
      <w:i/>
      <w:iCs/>
      <w:sz w:val="28"/>
      <w:szCs w:val="28"/>
      <w:lang w:val="es-ES" w:eastAsia="es-ES"/>
    </w:rPr>
  </w:style>
  <w:style w:type="character" w:customStyle="1" w:styleId="Ttulo3Car">
    <w:name w:val="Título 3 Car"/>
    <w:link w:val="Ttulo3"/>
    <w:rsid w:val="006E5AD4"/>
    <w:rPr>
      <w:rFonts w:ascii="Times New Roman" w:eastAsia="Times New Roman" w:hAnsi="Times New Roman"/>
      <w:b/>
      <w:bCs/>
      <w:sz w:val="26"/>
      <w:szCs w:val="26"/>
      <w:lang w:val="es-ES" w:eastAsia="es-ES"/>
    </w:rPr>
  </w:style>
  <w:style w:type="character" w:customStyle="1" w:styleId="Ttulo4Car">
    <w:name w:val="Título 4 Car"/>
    <w:link w:val="Ttulo4"/>
    <w:rsid w:val="006E5AD4"/>
    <w:rPr>
      <w:rFonts w:ascii="Arial" w:eastAsia="Times New Roman" w:hAnsi="Arial"/>
      <w:b/>
      <w:sz w:val="24"/>
      <w:lang w:val="es-ES_tradnl" w:eastAsia="es-ES"/>
    </w:rPr>
  </w:style>
  <w:style w:type="character" w:customStyle="1" w:styleId="Ttulo5Car">
    <w:name w:val="Título 5 Car"/>
    <w:link w:val="Ttulo5"/>
    <w:rsid w:val="006E5AD4"/>
    <w:rPr>
      <w:rFonts w:ascii="Arial" w:eastAsia="Times New Roman" w:hAnsi="Arial" w:cs="Arial"/>
      <w:b/>
      <w:bCs/>
      <w:color w:val="000000"/>
      <w:sz w:val="18"/>
      <w:lang w:val="es-ES" w:eastAsia="es-ES"/>
    </w:rPr>
  </w:style>
  <w:style w:type="character" w:customStyle="1" w:styleId="Ttulo6Car">
    <w:name w:val="Título 6 Car"/>
    <w:link w:val="Ttulo6"/>
    <w:rsid w:val="006E5AD4"/>
    <w:rPr>
      <w:rFonts w:ascii="Arial" w:eastAsia="Times New Roman" w:hAnsi="Arial" w:cs="Arial"/>
      <w:b/>
      <w:bCs/>
      <w:color w:val="000000"/>
      <w:lang w:val="es-ES" w:eastAsia="es-ES"/>
    </w:rPr>
  </w:style>
  <w:style w:type="character" w:customStyle="1" w:styleId="Ttulo7Car">
    <w:name w:val="Título 7 Car"/>
    <w:link w:val="Ttulo7"/>
    <w:rsid w:val="006E5AD4"/>
    <w:rPr>
      <w:rFonts w:ascii="Arial" w:eastAsia="Times New Roman" w:hAnsi="Arial" w:cs="Arial"/>
      <w:b/>
      <w:bCs/>
      <w:color w:val="000000"/>
      <w:lang w:val="es-ES" w:eastAsia="es-ES"/>
    </w:rPr>
  </w:style>
  <w:style w:type="paragraph" w:customStyle="1" w:styleId="Textoindependiente21">
    <w:name w:val="Texto independiente 21"/>
    <w:basedOn w:val="Normal"/>
    <w:rsid w:val="00B15DEB"/>
    <w:pPr>
      <w:suppressAutoHyphens/>
      <w:jc w:val="center"/>
    </w:pPr>
    <w:rPr>
      <w:spacing w:val="-3"/>
      <w:lang w:val="es-ES_tradnl"/>
    </w:rPr>
  </w:style>
  <w:style w:type="paragraph" w:styleId="Encabezado">
    <w:name w:val="header"/>
    <w:basedOn w:val="Normal"/>
    <w:link w:val="EncabezadoCar"/>
    <w:rsid w:val="00B15DEB"/>
    <w:pPr>
      <w:tabs>
        <w:tab w:val="center" w:pos="4320"/>
        <w:tab w:val="right" w:pos="8640"/>
      </w:tabs>
      <w:jc w:val="both"/>
    </w:pPr>
    <w:rPr>
      <w:sz w:val="20"/>
      <w:szCs w:val="20"/>
      <w:lang w:val="es-ES_tradnl"/>
    </w:rPr>
  </w:style>
  <w:style w:type="character" w:customStyle="1" w:styleId="EncabezadoCar">
    <w:name w:val="Encabezado Car"/>
    <w:link w:val="Encabezado"/>
    <w:rsid w:val="00B15DEB"/>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15DEB"/>
    <w:pPr>
      <w:widowControl w:val="0"/>
      <w:autoSpaceDE w:val="0"/>
      <w:autoSpaceDN w:val="0"/>
    </w:pPr>
    <w:rPr>
      <w:rFonts w:ascii="Courier New" w:hAnsi="Courier New"/>
    </w:rPr>
  </w:style>
  <w:style w:type="character" w:styleId="Nmerodepgina">
    <w:name w:val="page number"/>
    <w:basedOn w:val="Fuentedeprrafopredeter"/>
    <w:rsid w:val="00B15DEB"/>
  </w:style>
  <w:style w:type="paragraph" w:styleId="Piedepgina">
    <w:name w:val="footer"/>
    <w:basedOn w:val="Normal"/>
    <w:link w:val="PiedepginaCar"/>
    <w:rsid w:val="00B15DEB"/>
    <w:pPr>
      <w:tabs>
        <w:tab w:val="center" w:pos="4320"/>
        <w:tab w:val="right" w:pos="8640"/>
      </w:tabs>
      <w:jc w:val="both"/>
    </w:pPr>
    <w:rPr>
      <w:sz w:val="20"/>
      <w:szCs w:val="20"/>
      <w:lang w:val="es-ES_tradnl"/>
    </w:rPr>
  </w:style>
  <w:style w:type="character" w:customStyle="1" w:styleId="PiedepginaCar">
    <w:name w:val="Pie de página Car"/>
    <w:link w:val="Piedepgina"/>
    <w:rsid w:val="00B15DEB"/>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0B69E5"/>
    <w:rPr>
      <w:rFonts w:ascii="Tahoma" w:hAnsi="Tahoma"/>
      <w:sz w:val="16"/>
      <w:szCs w:val="16"/>
    </w:rPr>
  </w:style>
  <w:style w:type="character" w:customStyle="1" w:styleId="TextodegloboCar">
    <w:name w:val="Texto de globo Car"/>
    <w:link w:val="Textodeglobo"/>
    <w:uiPriority w:val="99"/>
    <w:semiHidden/>
    <w:rsid w:val="000B69E5"/>
    <w:rPr>
      <w:rFonts w:ascii="Tahoma" w:eastAsia="Times New Roman" w:hAnsi="Tahoma" w:cs="Tahoma"/>
      <w:sz w:val="16"/>
      <w:szCs w:val="16"/>
      <w:lang w:val="es-ES" w:eastAsia="es-ES"/>
    </w:rPr>
  </w:style>
  <w:style w:type="paragraph" w:styleId="Textoindependiente">
    <w:name w:val="Body Text"/>
    <w:basedOn w:val="Normal"/>
    <w:link w:val="TextoindependienteCar"/>
    <w:rsid w:val="006E5AD4"/>
    <w:pPr>
      <w:spacing w:after="120"/>
    </w:pPr>
    <w:rPr>
      <w:szCs w:val="20"/>
      <w:lang w:val="es-ES_tradnl"/>
    </w:rPr>
  </w:style>
  <w:style w:type="character" w:customStyle="1" w:styleId="TextoindependienteCar">
    <w:name w:val="Texto independiente Car"/>
    <w:link w:val="Textoindependiente"/>
    <w:rsid w:val="006E5AD4"/>
    <w:rPr>
      <w:rFonts w:ascii="Arial" w:eastAsia="Times New Roman" w:hAnsi="Arial"/>
      <w:sz w:val="24"/>
      <w:lang w:val="es-ES_tradnl" w:eastAsia="es-ES"/>
    </w:rPr>
  </w:style>
  <w:style w:type="paragraph" w:styleId="Textoindependiente2">
    <w:name w:val="Body Text 2"/>
    <w:basedOn w:val="Normal"/>
    <w:link w:val="Textoindependiente2Car"/>
    <w:rsid w:val="006E5AD4"/>
    <w:pPr>
      <w:widowControl w:val="0"/>
      <w:tabs>
        <w:tab w:val="center" w:pos="4695"/>
      </w:tabs>
      <w:jc w:val="center"/>
    </w:pPr>
    <w:rPr>
      <w:b/>
      <w:snapToGrid w:val="0"/>
      <w:color w:val="000000"/>
      <w:szCs w:val="20"/>
    </w:rPr>
  </w:style>
  <w:style w:type="character" w:customStyle="1" w:styleId="Textoindependiente2Car">
    <w:name w:val="Texto independiente 2 Car"/>
    <w:link w:val="Textoindependiente2"/>
    <w:rsid w:val="006E5AD4"/>
    <w:rPr>
      <w:rFonts w:ascii="Arial" w:eastAsia="Times New Roman" w:hAnsi="Arial"/>
      <w:b/>
      <w:snapToGrid w:val="0"/>
      <w:color w:val="000000"/>
      <w:sz w:val="24"/>
      <w:lang w:val="es-ES" w:eastAsia="es-ES"/>
    </w:rPr>
  </w:style>
  <w:style w:type="paragraph" w:styleId="Textoindependiente3">
    <w:name w:val="Body Text 3"/>
    <w:basedOn w:val="Normal"/>
    <w:link w:val="Textoindependiente3Car"/>
    <w:rsid w:val="006E5AD4"/>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link w:val="Textoindependiente3"/>
    <w:rsid w:val="006E5AD4"/>
    <w:rPr>
      <w:rFonts w:ascii="Arial" w:eastAsia="Times New Roman" w:hAnsi="Arial"/>
      <w:snapToGrid w:val="0"/>
      <w:color w:val="000000"/>
      <w:lang w:val="es-ES" w:eastAsia="es-ES"/>
    </w:rPr>
  </w:style>
  <w:style w:type="paragraph" w:styleId="NormalWeb">
    <w:name w:val="Normal (Web)"/>
    <w:basedOn w:val="Normal"/>
    <w:rsid w:val="006E5AD4"/>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6E5AD4"/>
    <w:rPr>
      <w:sz w:val="20"/>
      <w:szCs w:val="20"/>
    </w:rPr>
  </w:style>
  <w:style w:type="character" w:customStyle="1" w:styleId="TextonotapieCar">
    <w:name w:val="Texto nota pie Car"/>
    <w:link w:val="Textonotapie"/>
    <w:semiHidden/>
    <w:rsid w:val="006E5AD4"/>
    <w:rPr>
      <w:rFonts w:ascii="Arial" w:eastAsia="Times New Roman" w:hAnsi="Arial"/>
      <w:lang w:val="es-ES" w:eastAsia="es-ES"/>
    </w:rPr>
  </w:style>
  <w:style w:type="character" w:styleId="Refdenotaalpie">
    <w:name w:val="footnote reference"/>
    <w:semiHidden/>
    <w:rsid w:val="006E5AD4"/>
    <w:rPr>
      <w:vertAlign w:val="superscript"/>
    </w:rPr>
  </w:style>
  <w:style w:type="character" w:styleId="Refdecomentario">
    <w:name w:val="annotation reference"/>
    <w:rsid w:val="006E5AD4"/>
    <w:rPr>
      <w:sz w:val="16"/>
      <w:szCs w:val="16"/>
    </w:rPr>
  </w:style>
  <w:style w:type="paragraph" w:styleId="Textocomentario">
    <w:name w:val="annotation text"/>
    <w:basedOn w:val="Normal"/>
    <w:link w:val="TextocomentarioCar"/>
    <w:rsid w:val="006E5AD4"/>
    <w:rPr>
      <w:sz w:val="20"/>
      <w:szCs w:val="20"/>
    </w:rPr>
  </w:style>
  <w:style w:type="character" w:customStyle="1" w:styleId="TextocomentarioCar">
    <w:name w:val="Texto comentario Car"/>
    <w:link w:val="Textocomentario"/>
    <w:rsid w:val="006E5AD4"/>
    <w:rPr>
      <w:rFonts w:ascii="Arial" w:eastAsia="Times New Roman" w:hAnsi="Arial"/>
      <w:lang w:val="es-ES" w:eastAsia="es-ES"/>
    </w:rPr>
  </w:style>
  <w:style w:type="paragraph" w:styleId="Asuntodelcomentario">
    <w:name w:val="annotation subject"/>
    <w:basedOn w:val="Textocomentario"/>
    <w:next w:val="Textocomentario"/>
    <w:link w:val="AsuntodelcomentarioCar"/>
    <w:rsid w:val="006E5AD4"/>
    <w:rPr>
      <w:b/>
      <w:bCs/>
    </w:rPr>
  </w:style>
  <w:style w:type="character" w:customStyle="1" w:styleId="AsuntodelcomentarioCar">
    <w:name w:val="Asunto del comentario Car"/>
    <w:link w:val="Asuntodelcomentario"/>
    <w:rsid w:val="006E5AD4"/>
    <w:rPr>
      <w:rFonts w:ascii="Arial" w:eastAsia="Times New Roman" w:hAnsi="Arial"/>
      <w:b/>
      <w:bCs/>
      <w:lang w:val="es-ES" w:eastAsia="es-ES"/>
    </w:rPr>
  </w:style>
  <w:style w:type="character" w:styleId="Hipervnculo">
    <w:name w:val="Hyperlink"/>
    <w:uiPriority w:val="99"/>
    <w:unhideWhenUsed/>
    <w:rsid w:val="006E5AD4"/>
    <w:rPr>
      <w:color w:val="0000FF"/>
      <w:u w:val="single"/>
    </w:rPr>
  </w:style>
  <w:style w:type="character" w:styleId="Hipervnculovisitado">
    <w:name w:val="FollowedHyperlink"/>
    <w:uiPriority w:val="99"/>
    <w:unhideWhenUsed/>
    <w:rsid w:val="006E5AD4"/>
    <w:rPr>
      <w:color w:val="800080"/>
      <w:u w:val="single"/>
    </w:rPr>
  </w:style>
  <w:style w:type="paragraph" w:customStyle="1" w:styleId="xl63">
    <w:name w:val="xl63"/>
    <w:basedOn w:val="Normal"/>
    <w:rsid w:val="006E5AD4"/>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6E5AD4"/>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styleId="Prrafodelista">
    <w:name w:val="List Paragraph"/>
    <w:basedOn w:val="Normal"/>
    <w:link w:val="PrrafodelistaCar"/>
    <w:uiPriority w:val="34"/>
    <w:qFormat/>
    <w:rsid w:val="002E62DD"/>
    <w:pPr>
      <w:ind w:left="708"/>
    </w:pPr>
    <w:rPr>
      <w:szCs w:val="20"/>
    </w:rPr>
  </w:style>
  <w:style w:type="paragraph" w:styleId="Sinespaciado">
    <w:name w:val="No Spacing"/>
    <w:uiPriority w:val="1"/>
    <w:qFormat/>
    <w:rsid w:val="00136D2C"/>
    <w:pPr>
      <w:autoSpaceDE w:val="0"/>
      <w:autoSpaceDN w:val="0"/>
    </w:pPr>
    <w:rPr>
      <w:rFonts w:ascii="Times New Roman" w:eastAsia="Times New Roman" w:hAnsi="Times New Roman"/>
      <w:lang w:val="es-ES"/>
    </w:rPr>
  </w:style>
  <w:style w:type="table" w:styleId="Sombreadoclaro">
    <w:name w:val="Light Shading"/>
    <w:basedOn w:val="Tablanormal"/>
    <w:uiPriority w:val="60"/>
    <w:rsid w:val="00A167B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A167B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4A2A9A"/>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59"/>
    <w:rsid w:val="007F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B7C48"/>
    <w:rPr>
      <w:rFonts w:ascii="Arial" w:hAnsi="Arial"/>
      <w:kern w:val="24"/>
      <w:sz w:val="24"/>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41898"/>
    <w:rPr>
      <w:rFonts w:ascii="Arial" w:eastAsia="Times New Roman"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3259">
      <w:bodyDiv w:val="1"/>
      <w:marLeft w:val="0"/>
      <w:marRight w:val="0"/>
      <w:marTop w:val="0"/>
      <w:marBottom w:val="0"/>
      <w:divBdr>
        <w:top w:val="none" w:sz="0" w:space="0" w:color="auto"/>
        <w:left w:val="none" w:sz="0" w:space="0" w:color="auto"/>
        <w:bottom w:val="none" w:sz="0" w:space="0" w:color="auto"/>
        <w:right w:val="none" w:sz="0" w:space="0" w:color="auto"/>
      </w:divBdr>
    </w:div>
    <w:div w:id="299043575">
      <w:bodyDiv w:val="1"/>
      <w:marLeft w:val="0"/>
      <w:marRight w:val="0"/>
      <w:marTop w:val="0"/>
      <w:marBottom w:val="0"/>
      <w:divBdr>
        <w:top w:val="none" w:sz="0" w:space="0" w:color="auto"/>
        <w:left w:val="none" w:sz="0" w:space="0" w:color="auto"/>
        <w:bottom w:val="none" w:sz="0" w:space="0" w:color="auto"/>
        <w:right w:val="none" w:sz="0" w:space="0" w:color="auto"/>
      </w:divBdr>
    </w:div>
    <w:div w:id="336733815">
      <w:bodyDiv w:val="1"/>
      <w:marLeft w:val="0"/>
      <w:marRight w:val="0"/>
      <w:marTop w:val="0"/>
      <w:marBottom w:val="0"/>
      <w:divBdr>
        <w:top w:val="none" w:sz="0" w:space="0" w:color="auto"/>
        <w:left w:val="none" w:sz="0" w:space="0" w:color="auto"/>
        <w:bottom w:val="none" w:sz="0" w:space="0" w:color="auto"/>
        <w:right w:val="none" w:sz="0" w:space="0" w:color="auto"/>
      </w:divBdr>
    </w:div>
    <w:div w:id="356195265">
      <w:bodyDiv w:val="1"/>
      <w:marLeft w:val="0"/>
      <w:marRight w:val="0"/>
      <w:marTop w:val="0"/>
      <w:marBottom w:val="0"/>
      <w:divBdr>
        <w:top w:val="none" w:sz="0" w:space="0" w:color="auto"/>
        <w:left w:val="none" w:sz="0" w:space="0" w:color="auto"/>
        <w:bottom w:val="none" w:sz="0" w:space="0" w:color="auto"/>
        <w:right w:val="none" w:sz="0" w:space="0" w:color="auto"/>
      </w:divBdr>
    </w:div>
    <w:div w:id="606355020">
      <w:bodyDiv w:val="1"/>
      <w:marLeft w:val="0"/>
      <w:marRight w:val="0"/>
      <w:marTop w:val="0"/>
      <w:marBottom w:val="0"/>
      <w:divBdr>
        <w:top w:val="none" w:sz="0" w:space="0" w:color="auto"/>
        <w:left w:val="none" w:sz="0" w:space="0" w:color="auto"/>
        <w:bottom w:val="none" w:sz="0" w:space="0" w:color="auto"/>
        <w:right w:val="none" w:sz="0" w:space="0" w:color="auto"/>
      </w:divBdr>
    </w:div>
    <w:div w:id="666178486">
      <w:bodyDiv w:val="1"/>
      <w:marLeft w:val="0"/>
      <w:marRight w:val="0"/>
      <w:marTop w:val="0"/>
      <w:marBottom w:val="0"/>
      <w:divBdr>
        <w:top w:val="none" w:sz="0" w:space="0" w:color="auto"/>
        <w:left w:val="none" w:sz="0" w:space="0" w:color="auto"/>
        <w:bottom w:val="none" w:sz="0" w:space="0" w:color="auto"/>
        <w:right w:val="none" w:sz="0" w:space="0" w:color="auto"/>
      </w:divBdr>
    </w:div>
    <w:div w:id="1183201479">
      <w:bodyDiv w:val="1"/>
      <w:marLeft w:val="0"/>
      <w:marRight w:val="0"/>
      <w:marTop w:val="0"/>
      <w:marBottom w:val="0"/>
      <w:divBdr>
        <w:top w:val="none" w:sz="0" w:space="0" w:color="auto"/>
        <w:left w:val="none" w:sz="0" w:space="0" w:color="auto"/>
        <w:bottom w:val="none" w:sz="0" w:space="0" w:color="auto"/>
        <w:right w:val="none" w:sz="0" w:space="0" w:color="auto"/>
      </w:divBdr>
    </w:div>
    <w:div w:id="1362439514">
      <w:bodyDiv w:val="1"/>
      <w:marLeft w:val="0"/>
      <w:marRight w:val="0"/>
      <w:marTop w:val="0"/>
      <w:marBottom w:val="0"/>
      <w:divBdr>
        <w:top w:val="none" w:sz="0" w:space="0" w:color="auto"/>
        <w:left w:val="none" w:sz="0" w:space="0" w:color="auto"/>
        <w:bottom w:val="none" w:sz="0" w:space="0" w:color="auto"/>
        <w:right w:val="none" w:sz="0" w:space="0" w:color="auto"/>
      </w:divBdr>
    </w:div>
    <w:div w:id="1369376945">
      <w:bodyDiv w:val="1"/>
      <w:marLeft w:val="0"/>
      <w:marRight w:val="0"/>
      <w:marTop w:val="0"/>
      <w:marBottom w:val="0"/>
      <w:divBdr>
        <w:top w:val="none" w:sz="0" w:space="0" w:color="auto"/>
        <w:left w:val="none" w:sz="0" w:space="0" w:color="auto"/>
        <w:bottom w:val="none" w:sz="0" w:space="0" w:color="auto"/>
        <w:right w:val="none" w:sz="0" w:space="0" w:color="auto"/>
      </w:divBdr>
    </w:div>
    <w:div w:id="1559784040">
      <w:bodyDiv w:val="1"/>
      <w:marLeft w:val="0"/>
      <w:marRight w:val="0"/>
      <w:marTop w:val="0"/>
      <w:marBottom w:val="0"/>
      <w:divBdr>
        <w:top w:val="none" w:sz="0" w:space="0" w:color="auto"/>
        <w:left w:val="none" w:sz="0" w:space="0" w:color="auto"/>
        <w:bottom w:val="none" w:sz="0" w:space="0" w:color="auto"/>
        <w:right w:val="none" w:sz="0" w:space="0" w:color="auto"/>
      </w:divBdr>
    </w:div>
    <w:div w:id="1614290256">
      <w:bodyDiv w:val="1"/>
      <w:marLeft w:val="0"/>
      <w:marRight w:val="0"/>
      <w:marTop w:val="0"/>
      <w:marBottom w:val="0"/>
      <w:divBdr>
        <w:top w:val="none" w:sz="0" w:space="0" w:color="auto"/>
        <w:left w:val="none" w:sz="0" w:space="0" w:color="auto"/>
        <w:bottom w:val="none" w:sz="0" w:space="0" w:color="auto"/>
        <w:right w:val="none" w:sz="0" w:space="0" w:color="auto"/>
      </w:divBdr>
    </w:div>
    <w:div w:id="1757363442">
      <w:bodyDiv w:val="1"/>
      <w:marLeft w:val="0"/>
      <w:marRight w:val="0"/>
      <w:marTop w:val="0"/>
      <w:marBottom w:val="0"/>
      <w:divBdr>
        <w:top w:val="none" w:sz="0" w:space="0" w:color="auto"/>
        <w:left w:val="none" w:sz="0" w:space="0" w:color="auto"/>
        <w:bottom w:val="none" w:sz="0" w:space="0" w:color="auto"/>
        <w:right w:val="none" w:sz="0" w:space="0" w:color="auto"/>
      </w:divBdr>
    </w:div>
    <w:div w:id="1825731777">
      <w:bodyDiv w:val="1"/>
      <w:marLeft w:val="0"/>
      <w:marRight w:val="0"/>
      <w:marTop w:val="0"/>
      <w:marBottom w:val="0"/>
      <w:divBdr>
        <w:top w:val="none" w:sz="0" w:space="0" w:color="auto"/>
        <w:left w:val="none" w:sz="0" w:space="0" w:color="auto"/>
        <w:bottom w:val="none" w:sz="0" w:space="0" w:color="auto"/>
        <w:right w:val="none" w:sz="0" w:space="0" w:color="auto"/>
      </w:divBdr>
    </w:div>
    <w:div w:id="2002851822">
      <w:bodyDiv w:val="1"/>
      <w:marLeft w:val="0"/>
      <w:marRight w:val="0"/>
      <w:marTop w:val="0"/>
      <w:marBottom w:val="0"/>
      <w:divBdr>
        <w:top w:val="none" w:sz="0" w:space="0" w:color="auto"/>
        <w:left w:val="none" w:sz="0" w:space="0" w:color="auto"/>
        <w:bottom w:val="none" w:sz="0" w:space="0" w:color="auto"/>
        <w:right w:val="none" w:sz="0" w:space="0" w:color="auto"/>
      </w:divBdr>
    </w:div>
    <w:div w:id="20760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305C-7129-42FA-B687-849C3866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Enrique Valencia</dc:creator>
  <cp:keywords/>
  <cp:lastModifiedBy>Dayan Eliana Gonzalez</cp:lastModifiedBy>
  <cp:revision>3</cp:revision>
  <cp:lastPrinted>2014-08-01T21:36:00Z</cp:lastPrinted>
  <dcterms:created xsi:type="dcterms:W3CDTF">2017-08-24T16:16:00Z</dcterms:created>
  <dcterms:modified xsi:type="dcterms:W3CDTF">2017-08-24T16:16:00Z</dcterms:modified>
</cp:coreProperties>
</file>